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00CE544A" w:rsidRPr="003E4C33" w14:paraId="2F63F022" w14:textId="77777777" w:rsidTr="3CAA449D">
        <w:tc>
          <w:tcPr>
            <w:tcW w:w="2438" w:type="dxa"/>
          </w:tcPr>
          <w:p w14:paraId="3B17A912" w14:textId="77777777" w:rsidR="00F445B1" w:rsidRPr="003E4C33" w:rsidRDefault="006B2DE1" w:rsidP="004A6D2F">
            <w:pPr>
              <w:rPr>
                <w:rStyle w:val="Firstpagetablebold"/>
                <w:rFonts w:cs="Arial"/>
              </w:rPr>
            </w:pPr>
            <w:r w:rsidRPr="003E4C33">
              <w:rPr>
                <w:rStyle w:val="Firstpagetablebold"/>
                <w:rFonts w:cs="Arial"/>
              </w:rPr>
              <w:t>Decision type</w:t>
            </w:r>
            <w:r w:rsidR="005C35A5" w:rsidRPr="003E4C33">
              <w:rPr>
                <w:rStyle w:val="Firstpagetablebold"/>
                <w:rFonts w:cs="Arial"/>
              </w:rPr>
              <w:t>:</w:t>
            </w:r>
          </w:p>
        </w:tc>
        <w:tc>
          <w:tcPr>
            <w:tcW w:w="6406" w:type="dxa"/>
          </w:tcPr>
          <w:p w14:paraId="15BDDA14" w14:textId="1D05884B" w:rsidR="00F445B1" w:rsidRPr="003E4C33" w:rsidRDefault="006B2DE1" w:rsidP="004A6D2F">
            <w:pPr>
              <w:rPr>
                <w:rStyle w:val="Firstpagetablebold"/>
                <w:rFonts w:cs="Arial"/>
              </w:rPr>
            </w:pPr>
            <w:r w:rsidRPr="003E4C33">
              <w:rPr>
                <w:rStyle w:val="Firstpagetablebold"/>
                <w:rFonts w:cs="Arial"/>
              </w:rPr>
              <w:t xml:space="preserve">Decision </w:t>
            </w:r>
            <w:r w:rsidR="39A05735" w:rsidRPr="003E4C33">
              <w:rPr>
                <w:rStyle w:val="Firstpagetablebold"/>
                <w:rFonts w:cs="Arial"/>
              </w:rPr>
              <w:t xml:space="preserve">Specifically </w:t>
            </w:r>
            <w:r w:rsidRPr="003E4C33">
              <w:rPr>
                <w:rStyle w:val="Firstpagetablebold"/>
                <w:rFonts w:cs="Arial"/>
              </w:rPr>
              <w:t>Delegated to Officers</w:t>
            </w:r>
            <w:r w:rsidR="00BF2B37" w:rsidRPr="003E4C33">
              <w:rPr>
                <w:rStyle w:val="Firstpagetablebold"/>
                <w:rFonts w:cs="Arial"/>
              </w:rPr>
              <w:t xml:space="preserve"> </w:t>
            </w:r>
          </w:p>
        </w:tc>
      </w:tr>
      <w:tr w:rsidR="00CE544A" w:rsidRPr="003E4C33" w14:paraId="33BEC222" w14:textId="77777777" w:rsidTr="3CAA449D">
        <w:tc>
          <w:tcPr>
            <w:tcW w:w="2438" w:type="dxa"/>
          </w:tcPr>
          <w:p w14:paraId="28000B0A" w14:textId="77777777" w:rsidR="00F445B1" w:rsidRPr="003E4C33" w:rsidRDefault="00F445B1" w:rsidP="004A6D2F">
            <w:pPr>
              <w:rPr>
                <w:rStyle w:val="Firstpagetablebold"/>
                <w:rFonts w:cs="Arial"/>
              </w:rPr>
            </w:pPr>
            <w:r w:rsidRPr="003E4C33">
              <w:rPr>
                <w:rStyle w:val="Firstpagetablebold"/>
                <w:rFonts w:cs="Arial"/>
              </w:rPr>
              <w:t>D</w:t>
            </w:r>
            <w:r w:rsidR="006B2DE1" w:rsidRPr="003E4C33">
              <w:rPr>
                <w:rStyle w:val="Firstpagetablebold"/>
                <w:rFonts w:cs="Arial"/>
              </w:rPr>
              <w:t>ecision d</w:t>
            </w:r>
            <w:r w:rsidRPr="003E4C33">
              <w:rPr>
                <w:rStyle w:val="Firstpagetablebold"/>
                <w:rFonts w:cs="Arial"/>
              </w:rPr>
              <w:t>at</w:t>
            </w:r>
            <w:r w:rsidR="005C35A5" w:rsidRPr="003E4C33">
              <w:rPr>
                <w:rStyle w:val="Firstpagetablebold"/>
                <w:rFonts w:cs="Arial"/>
              </w:rPr>
              <w:t>e:</w:t>
            </w:r>
          </w:p>
        </w:tc>
        <w:tc>
          <w:tcPr>
            <w:tcW w:w="6406" w:type="dxa"/>
          </w:tcPr>
          <w:p w14:paraId="24B44B70" w14:textId="005B955A" w:rsidR="00F445B1" w:rsidRPr="00C55247" w:rsidRDefault="008C6CA7" w:rsidP="3CAA449D">
            <w:pPr>
              <w:rPr>
                <w:rStyle w:val="Firstpagetablebold"/>
                <w:b w:val="0"/>
              </w:rPr>
            </w:pPr>
            <w:r>
              <w:rPr>
                <w:rStyle w:val="Firstpagetablebold"/>
                <w:b w:val="0"/>
              </w:rPr>
              <w:t>13</w:t>
            </w:r>
            <w:r w:rsidR="00D43FD2" w:rsidRPr="3CAA449D">
              <w:rPr>
                <w:rStyle w:val="Firstpagetablebold"/>
                <w:b w:val="0"/>
              </w:rPr>
              <w:t>/</w:t>
            </w:r>
            <w:r>
              <w:rPr>
                <w:rStyle w:val="Firstpagetablebold"/>
                <w:b w:val="0"/>
              </w:rPr>
              <w:t>11</w:t>
            </w:r>
            <w:r w:rsidR="00D43FD2" w:rsidRPr="3CAA449D">
              <w:rPr>
                <w:rStyle w:val="Firstpagetablebold"/>
                <w:b w:val="0"/>
              </w:rPr>
              <w:t>/</w:t>
            </w:r>
            <w:r>
              <w:rPr>
                <w:rStyle w:val="Firstpagetablebold"/>
                <w:b w:val="0"/>
              </w:rPr>
              <w:t>2025</w:t>
            </w:r>
          </w:p>
        </w:tc>
      </w:tr>
      <w:tr w:rsidR="00CE544A" w:rsidRPr="003E4C33" w14:paraId="4976D647" w14:textId="77777777" w:rsidTr="3CAA449D">
        <w:tc>
          <w:tcPr>
            <w:tcW w:w="2438" w:type="dxa"/>
          </w:tcPr>
          <w:p w14:paraId="382A5FE7" w14:textId="77777777" w:rsidR="00F445B1" w:rsidRPr="003E4C33" w:rsidRDefault="006B2DE1" w:rsidP="004A6D2F">
            <w:pPr>
              <w:rPr>
                <w:rStyle w:val="Firstpagetablebold"/>
                <w:rFonts w:cs="Arial"/>
              </w:rPr>
            </w:pPr>
            <w:r w:rsidRPr="003E4C33">
              <w:rPr>
                <w:rStyle w:val="Firstpagetablebold"/>
                <w:rFonts w:cs="Arial"/>
              </w:rPr>
              <w:t>Decision maker</w:t>
            </w:r>
            <w:r w:rsidR="005C35A5" w:rsidRPr="003E4C33">
              <w:rPr>
                <w:rStyle w:val="Firstpagetablebold"/>
                <w:rFonts w:cs="Arial"/>
              </w:rPr>
              <w:t>:</w:t>
            </w:r>
          </w:p>
        </w:tc>
        <w:tc>
          <w:tcPr>
            <w:tcW w:w="6406" w:type="dxa"/>
          </w:tcPr>
          <w:p w14:paraId="4CADFAAE" w14:textId="33356CB8" w:rsidR="00F445B1" w:rsidRPr="00C55247" w:rsidRDefault="00F37B81" w:rsidP="2BB29E7E">
            <w:pPr>
              <w:rPr>
                <w:rStyle w:val="Firstpagetablebold"/>
                <w:rFonts w:cs="Arial"/>
                <w:b w:val="0"/>
                <w:color w:val="auto"/>
              </w:rPr>
            </w:pPr>
            <w:r>
              <w:rPr>
                <w:rStyle w:val="Firstpagetablebold"/>
                <w:rFonts w:cs="Arial"/>
                <w:b w:val="0"/>
                <w:color w:val="auto"/>
              </w:rPr>
              <w:t xml:space="preserve">Tom Hook, </w:t>
            </w:r>
            <w:r w:rsidR="009D3D0B">
              <w:rPr>
                <w:rStyle w:val="Firstpagetablebold"/>
                <w:rFonts w:cs="Arial"/>
                <w:b w:val="0"/>
                <w:color w:val="auto"/>
              </w:rPr>
              <w:t>Deputy Chief Executive</w:t>
            </w:r>
          </w:p>
        </w:tc>
      </w:tr>
      <w:tr w:rsidR="00CE544A" w:rsidRPr="003E4C33" w14:paraId="1CE13DCA" w14:textId="77777777" w:rsidTr="3CAA449D">
        <w:tc>
          <w:tcPr>
            <w:tcW w:w="2438" w:type="dxa"/>
          </w:tcPr>
          <w:p w14:paraId="6F073F4D" w14:textId="77777777" w:rsidR="00F445B1" w:rsidRPr="003E4C33" w:rsidRDefault="006B2DE1" w:rsidP="004A6D2F">
            <w:pPr>
              <w:rPr>
                <w:rStyle w:val="Firstpagetablebold"/>
                <w:rFonts w:cs="Arial"/>
              </w:rPr>
            </w:pPr>
            <w:r w:rsidRPr="003E4C33">
              <w:rPr>
                <w:rStyle w:val="Firstpagetablebold"/>
                <w:rFonts w:cs="Arial"/>
              </w:rPr>
              <w:t>Decision title</w:t>
            </w:r>
            <w:r w:rsidR="00F445B1" w:rsidRPr="003E4C33">
              <w:rPr>
                <w:rStyle w:val="Firstpagetablebold"/>
                <w:rFonts w:cs="Arial"/>
              </w:rPr>
              <w:t xml:space="preserve">: </w:t>
            </w:r>
          </w:p>
        </w:tc>
        <w:tc>
          <w:tcPr>
            <w:tcW w:w="6406" w:type="dxa"/>
          </w:tcPr>
          <w:p w14:paraId="04146131" w14:textId="6F25D36A" w:rsidR="00F445B1" w:rsidRPr="00C55247" w:rsidRDefault="0035045B" w:rsidP="3CAA449D">
            <w:pPr>
              <w:rPr>
                <w:rFonts w:cs="Arial"/>
                <w:color w:val="auto"/>
              </w:rPr>
            </w:pPr>
            <w:r w:rsidRPr="3CAA449D">
              <w:rPr>
                <w:rFonts w:cs="Arial"/>
                <w:color w:val="auto"/>
              </w:rPr>
              <w:t xml:space="preserve">Purchase of </w:t>
            </w:r>
            <w:r w:rsidR="003D7A19" w:rsidRPr="3CAA449D">
              <w:rPr>
                <w:rFonts w:cs="Arial"/>
                <w:color w:val="auto"/>
              </w:rPr>
              <w:t xml:space="preserve">a </w:t>
            </w:r>
            <w:r w:rsidR="20BE641E" w:rsidRPr="3CAA449D">
              <w:rPr>
                <w:rFonts w:cs="Arial"/>
                <w:color w:val="auto"/>
              </w:rPr>
              <w:t>4-bedroom house</w:t>
            </w:r>
            <w:r w:rsidR="003D7A19" w:rsidRPr="3CAA449D">
              <w:rPr>
                <w:rFonts w:cs="Arial"/>
                <w:color w:val="auto"/>
              </w:rPr>
              <w:t xml:space="preserve"> at </w:t>
            </w:r>
            <w:r w:rsidR="4FE06D8E" w:rsidRPr="3CAA449D">
              <w:rPr>
                <w:rFonts w:eastAsia="Arial" w:cs="Arial"/>
              </w:rPr>
              <w:t>62 kestrel crescent, Blackbird leys, Oxford, OX4 6DZ.</w:t>
            </w:r>
          </w:p>
        </w:tc>
      </w:tr>
    </w:tbl>
    <w:p w14:paraId="080C2F93" w14:textId="77777777" w:rsidR="004F20EF" w:rsidRPr="003E4C33" w:rsidRDefault="004F20EF" w:rsidP="004A6D2F">
      <w:pPr>
        <w:rPr>
          <w:rFonts w:cs="Arial"/>
        </w:rPr>
      </w:pP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438"/>
        <w:gridCol w:w="6407"/>
      </w:tblGrid>
      <w:tr w:rsidR="00D5547E" w:rsidRPr="003E4C33" w14:paraId="7FD44099" w14:textId="77777777" w:rsidTr="3CAA449D">
        <w:tc>
          <w:tcPr>
            <w:tcW w:w="8845" w:type="dxa"/>
            <w:gridSpan w:val="2"/>
            <w:tcBorders>
              <w:bottom w:val="single" w:sz="8" w:space="0" w:color="000000" w:themeColor="text1"/>
            </w:tcBorders>
            <w:hideMark/>
          </w:tcPr>
          <w:p w14:paraId="5689CEED" w14:textId="299E84BF" w:rsidR="00D5547E" w:rsidRPr="003E4C33" w:rsidRDefault="00745BF0" w:rsidP="00745BF0">
            <w:pPr>
              <w:jc w:val="center"/>
              <w:rPr>
                <w:rStyle w:val="Firstpagetablebold"/>
                <w:rFonts w:cs="Arial"/>
              </w:rPr>
            </w:pPr>
            <w:r w:rsidRPr="003E4C33">
              <w:rPr>
                <w:rStyle w:val="Firstpagetablebold"/>
                <w:rFonts w:cs="Arial"/>
              </w:rPr>
              <w:t xml:space="preserve">Summary </w:t>
            </w:r>
          </w:p>
        </w:tc>
      </w:tr>
      <w:tr w:rsidR="00D5547E" w:rsidRPr="003E4C33" w14:paraId="5A19916D" w14:textId="77777777" w:rsidTr="3CAA449D">
        <w:tc>
          <w:tcPr>
            <w:tcW w:w="2438" w:type="dxa"/>
            <w:tcBorders>
              <w:top w:val="single" w:sz="8" w:space="0" w:color="000000" w:themeColor="text1"/>
              <w:left w:val="single" w:sz="8" w:space="0" w:color="000000" w:themeColor="text1"/>
              <w:bottom w:val="nil"/>
              <w:right w:val="nil"/>
            </w:tcBorders>
            <w:hideMark/>
          </w:tcPr>
          <w:p w14:paraId="0CBF1A02" w14:textId="75CA1B6E" w:rsidR="00D5547E" w:rsidRPr="003E4C33" w:rsidRDefault="006C767F" w:rsidP="00523261">
            <w:pPr>
              <w:rPr>
                <w:rStyle w:val="Firstpagetablebold"/>
                <w:rFonts w:cs="Arial"/>
              </w:rPr>
            </w:pPr>
            <w:r w:rsidRPr="003E4C33">
              <w:rPr>
                <w:rStyle w:val="Firstpagetablebold"/>
                <w:rFonts w:cs="Arial"/>
              </w:rPr>
              <w:t>Decision being taken</w:t>
            </w:r>
            <w:r w:rsidR="00D5547E" w:rsidRPr="003E4C33">
              <w:rPr>
                <w:rStyle w:val="Firstpagetablebold"/>
                <w:rFonts w:cs="Arial"/>
              </w:rPr>
              <w:t>:</w:t>
            </w:r>
          </w:p>
        </w:tc>
        <w:tc>
          <w:tcPr>
            <w:tcW w:w="6407" w:type="dxa"/>
            <w:tcBorders>
              <w:top w:val="single" w:sz="8" w:space="0" w:color="000000" w:themeColor="text1"/>
              <w:left w:val="nil"/>
              <w:bottom w:val="nil"/>
              <w:right w:val="single" w:sz="8" w:space="0" w:color="000000" w:themeColor="text1"/>
            </w:tcBorders>
            <w:hideMark/>
          </w:tcPr>
          <w:p w14:paraId="1A556BE9" w14:textId="334768A2" w:rsidR="00D5547E" w:rsidRPr="00C55247" w:rsidRDefault="5B6D3332" w:rsidP="3CAA449D">
            <w:pPr>
              <w:rPr>
                <w:rFonts w:cs="Arial"/>
                <w:color w:val="auto"/>
              </w:rPr>
            </w:pPr>
            <w:r w:rsidRPr="3CAA449D">
              <w:rPr>
                <w:rFonts w:cs="Arial"/>
                <w:color w:val="auto"/>
              </w:rPr>
              <w:t xml:space="preserve">Purchase of a 4-bedroom house at </w:t>
            </w:r>
            <w:r w:rsidRPr="3CAA449D">
              <w:rPr>
                <w:rFonts w:eastAsia="Arial" w:cs="Arial"/>
              </w:rPr>
              <w:t>62 kestrel crescent, Blackbird leys, Oxford, OX4 6DZ for £355,000</w:t>
            </w:r>
            <w:r w:rsidR="003D7A19" w:rsidRPr="3CAA449D">
              <w:rPr>
                <w:rFonts w:cs="Arial"/>
                <w:color w:val="auto"/>
              </w:rPr>
              <w:t xml:space="preserve"> </w:t>
            </w:r>
            <w:r w:rsidR="0035045B" w:rsidRPr="3CAA449D">
              <w:rPr>
                <w:rFonts w:cs="Arial"/>
                <w:color w:val="auto"/>
              </w:rPr>
              <w:t>to be allocated to RRTBR 25/26 programme</w:t>
            </w:r>
            <w:r w:rsidR="003D7A19" w:rsidRPr="3CAA449D">
              <w:rPr>
                <w:rFonts w:cs="Arial"/>
                <w:color w:val="auto"/>
              </w:rPr>
              <w:t xml:space="preserve"> </w:t>
            </w:r>
            <w:r w:rsidR="003D7A19">
              <w:t>for general needs social rent</w:t>
            </w:r>
            <w:r w:rsidR="0035045B" w:rsidRPr="3CAA449D">
              <w:rPr>
                <w:rFonts w:cs="Arial"/>
                <w:color w:val="auto"/>
              </w:rPr>
              <w:t>.</w:t>
            </w:r>
          </w:p>
        </w:tc>
      </w:tr>
      <w:tr w:rsidR="00D5547E" w:rsidRPr="003E4C33" w14:paraId="14C2CC29" w14:textId="77777777" w:rsidTr="3CAA449D">
        <w:tc>
          <w:tcPr>
            <w:tcW w:w="2438" w:type="dxa"/>
            <w:tcBorders>
              <w:top w:val="nil"/>
              <w:left w:val="single" w:sz="8" w:space="0" w:color="000000" w:themeColor="text1"/>
              <w:bottom w:val="nil"/>
              <w:right w:val="nil"/>
            </w:tcBorders>
            <w:hideMark/>
          </w:tcPr>
          <w:p w14:paraId="21ECDCE3" w14:textId="77777777" w:rsidR="00D5547E" w:rsidRPr="003E4C33" w:rsidRDefault="00D5547E">
            <w:pPr>
              <w:rPr>
                <w:rStyle w:val="Firstpagetablebold"/>
                <w:rFonts w:cs="Arial"/>
              </w:rPr>
            </w:pPr>
            <w:r w:rsidRPr="003E4C33">
              <w:rPr>
                <w:rStyle w:val="Firstpagetablebold"/>
                <w:rFonts w:cs="Arial"/>
              </w:rPr>
              <w:t>Key decision:</w:t>
            </w:r>
          </w:p>
        </w:tc>
        <w:tc>
          <w:tcPr>
            <w:tcW w:w="6407" w:type="dxa"/>
            <w:tcBorders>
              <w:top w:val="nil"/>
              <w:left w:val="nil"/>
              <w:bottom w:val="nil"/>
              <w:right w:val="single" w:sz="8" w:space="0" w:color="000000" w:themeColor="text1"/>
            </w:tcBorders>
            <w:hideMark/>
          </w:tcPr>
          <w:p w14:paraId="16E2C596" w14:textId="54E45894" w:rsidR="00D5547E" w:rsidRPr="00C55247" w:rsidRDefault="003D7A19" w:rsidP="2BB29E7E">
            <w:pPr>
              <w:rPr>
                <w:rFonts w:cs="Arial"/>
                <w:color w:val="auto"/>
              </w:rPr>
            </w:pPr>
            <w:r>
              <w:rPr>
                <w:rFonts w:cs="Arial"/>
                <w:color w:val="auto"/>
              </w:rPr>
              <w:t>No</w:t>
            </w:r>
          </w:p>
        </w:tc>
      </w:tr>
      <w:tr w:rsidR="006B2DE1" w:rsidRPr="003E4C33" w14:paraId="631D49A6" w14:textId="77777777" w:rsidTr="3CAA449D">
        <w:tc>
          <w:tcPr>
            <w:tcW w:w="2438" w:type="dxa"/>
            <w:tcBorders>
              <w:top w:val="nil"/>
              <w:left w:val="single" w:sz="8" w:space="0" w:color="000000" w:themeColor="text1"/>
              <w:bottom w:val="nil"/>
              <w:right w:val="nil"/>
            </w:tcBorders>
          </w:tcPr>
          <w:p w14:paraId="17BC101D" w14:textId="77777777" w:rsidR="006B2DE1" w:rsidRPr="003E4C33" w:rsidRDefault="006B2DE1">
            <w:pPr>
              <w:rPr>
                <w:rStyle w:val="Firstpagetablebold"/>
                <w:rFonts w:cs="Arial"/>
              </w:rPr>
            </w:pPr>
            <w:r w:rsidRPr="003E4C33">
              <w:rPr>
                <w:rStyle w:val="Firstpagetablebold"/>
                <w:rFonts w:cs="Arial"/>
              </w:rPr>
              <w:t>Source of delegation:</w:t>
            </w:r>
          </w:p>
        </w:tc>
        <w:tc>
          <w:tcPr>
            <w:tcW w:w="6407" w:type="dxa"/>
            <w:tcBorders>
              <w:top w:val="nil"/>
              <w:left w:val="nil"/>
              <w:bottom w:val="nil"/>
              <w:right w:val="single" w:sz="8" w:space="0" w:color="000000" w:themeColor="text1"/>
            </w:tcBorders>
          </w:tcPr>
          <w:p w14:paraId="067115DF" w14:textId="3222B886" w:rsidR="00060953" w:rsidRDefault="00060953" w:rsidP="00060953">
            <w:pPr>
              <w:rPr>
                <w:rFonts w:cs="Arial"/>
              </w:rPr>
            </w:pPr>
            <w:r w:rsidRPr="008B2396">
              <w:rPr>
                <w:rFonts w:cs="Arial"/>
              </w:rPr>
              <w:t>General Delegation under</w:t>
            </w:r>
            <w:r>
              <w:rPr>
                <w:rFonts w:cs="Arial"/>
              </w:rPr>
              <w:t xml:space="preserve"> </w:t>
            </w:r>
            <w:r w:rsidRPr="00AD2342">
              <w:rPr>
                <w:rFonts w:cs="Arial"/>
              </w:rPr>
              <w:t>17 April 2024</w:t>
            </w:r>
            <w:r>
              <w:rPr>
                <w:rFonts w:cs="Arial"/>
              </w:rPr>
              <w:t xml:space="preserve"> </w:t>
            </w:r>
            <w:r w:rsidRPr="008B2396">
              <w:rPr>
                <w:rFonts w:cs="Arial"/>
              </w:rPr>
              <w:t xml:space="preserve">Cabinet as part of the HRA budget for RRTBR. </w:t>
            </w:r>
          </w:p>
          <w:p w14:paraId="24C2E022" w14:textId="7E4D27DC" w:rsidR="0035045B" w:rsidRPr="0035045B" w:rsidRDefault="00060953" w:rsidP="003D7A19">
            <w:pPr>
              <w:rPr>
                <w:rFonts w:cs="Arial"/>
              </w:rPr>
            </w:pPr>
            <w:r w:rsidRPr="00FD4057">
              <w:rPr>
                <w:rFonts w:cs="Arial"/>
              </w:rPr>
              <w:t>Delegate authority to the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r w:rsidR="003D7A19">
              <w:rPr>
                <w:rFonts w:cs="Arial"/>
              </w:rPr>
              <w:t>.</w:t>
            </w:r>
          </w:p>
        </w:tc>
      </w:tr>
      <w:tr w:rsidR="00E508A1" w:rsidRPr="003E4C33" w14:paraId="271E719F" w14:textId="77777777" w:rsidTr="3CAA449D">
        <w:tc>
          <w:tcPr>
            <w:tcW w:w="2438" w:type="dxa"/>
            <w:tcBorders>
              <w:top w:val="nil"/>
              <w:left w:val="single" w:sz="8" w:space="0" w:color="000000" w:themeColor="text1"/>
              <w:bottom w:val="nil"/>
              <w:right w:val="nil"/>
            </w:tcBorders>
          </w:tcPr>
          <w:p w14:paraId="1A335B57" w14:textId="576239ED" w:rsidR="00E508A1" w:rsidRPr="003E4C33" w:rsidRDefault="00E508A1" w:rsidP="00E508A1">
            <w:pPr>
              <w:rPr>
                <w:rStyle w:val="Firstpagetablebold"/>
                <w:rFonts w:cs="Arial"/>
              </w:rPr>
            </w:pPr>
            <w:r>
              <w:rPr>
                <w:rStyle w:val="Firstpagetablebold"/>
              </w:rPr>
              <w:t>Cabinet Member:</w:t>
            </w:r>
          </w:p>
        </w:tc>
        <w:tc>
          <w:tcPr>
            <w:tcW w:w="6407" w:type="dxa"/>
            <w:tcBorders>
              <w:top w:val="nil"/>
              <w:left w:val="nil"/>
              <w:bottom w:val="nil"/>
              <w:right w:val="single" w:sz="8" w:space="0" w:color="000000" w:themeColor="text1"/>
            </w:tcBorders>
          </w:tcPr>
          <w:p w14:paraId="3F43CD0E" w14:textId="6D022809" w:rsidR="00E508A1" w:rsidRPr="00C55247" w:rsidRDefault="00254D7E" w:rsidP="00E508A1">
            <w:pPr>
              <w:rPr>
                <w:rFonts w:cs="Arial"/>
                <w:color w:val="auto"/>
              </w:rPr>
            </w:pPr>
            <w:r>
              <w:rPr>
                <w:color w:val="auto"/>
              </w:rPr>
              <w:t>Linda Smith, Cabinet Member for Housing.</w:t>
            </w:r>
          </w:p>
        </w:tc>
      </w:tr>
      <w:tr w:rsidR="00E508A1" w:rsidRPr="003E4C33" w14:paraId="7239C84D" w14:textId="77777777" w:rsidTr="3CAA449D">
        <w:tc>
          <w:tcPr>
            <w:tcW w:w="2438" w:type="dxa"/>
            <w:tcBorders>
              <w:top w:val="nil"/>
              <w:left w:val="single" w:sz="8" w:space="0" w:color="000000" w:themeColor="text1"/>
              <w:bottom w:val="nil"/>
              <w:right w:val="nil"/>
            </w:tcBorders>
          </w:tcPr>
          <w:p w14:paraId="69154EA3" w14:textId="5398B245" w:rsidR="00E508A1" w:rsidRPr="003E4C33" w:rsidRDefault="00E508A1" w:rsidP="00E508A1">
            <w:pPr>
              <w:rPr>
                <w:rStyle w:val="Firstpagetablebold"/>
                <w:rFonts w:cs="Arial"/>
              </w:rPr>
            </w:pPr>
            <w:r>
              <w:rPr>
                <w:rStyle w:val="Firstpagetablebold"/>
              </w:rPr>
              <w:t>Corporate Priority:</w:t>
            </w:r>
          </w:p>
        </w:tc>
        <w:tc>
          <w:tcPr>
            <w:tcW w:w="6407" w:type="dxa"/>
            <w:tcBorders>
              <w:top w:val="nil"/>
              <w:left w:val="nil"/>
              <w:bottom w:val="nil"/>
              <w:right w:val="single" w:sz="8" w:space="0" w:color="000000" w:themeColor="text1"/>
            </w:tcBorders>
          </w:tcPr>
          <w:p w14:paraId="7176B63A" w14:textId="583A33E8" w:rsidR="00E508A1" w:rsidRPr="00C55247" w:rsidRDefault="00254D7E" w:rsidP="00E508A1">
            <w:pPr>
              <w:rPr>
                <w:rFonts w:cs="Arial"/>
                <w:color w:val="auto"/>
              </w:rPr>
            </w:pPr>
            <w:r>
              <w:rPr>
                <w:rFonts w:cs="Arial"/>
                <w:color w:val="auto"/>
              </w:rPr>
              <w:t>None.</w:t>
            </w:r>
          </w:p>
        </w:tc>
      </w:tr>
      <w:tr w:rsidR="00E508A1" w:rsidRPr="003E4C33" w14:paraId="7C13F173" w14:textId="77777777" w:rsidTr="3CAA449D">
        <w:tc>
          <w:tcPr>
            <w:tcW w:w="2438" w:type="dxa"/>
            <w:tcBorders>
              <w:top w:val="nil"/>
              <w:left w:val="single" w:sz="8" w:space="0" w:color="000000" w:themeColor="text1"/>
              <w:bottom w:val="single" w:sz="4" w:space="0" w:color="auto"/>
              <w:right w:val="nil"/>
            </w:tcBorders>
          </w:tcPr>
          <w:p w14:paraId="03C588C4" w14:textId="0F96CD21" w:rsidR="00E508A1" w:rsidRPr="003E4C33" w:rsidRDefault="00E508A1" w:rsidP="00E508A1">
            <w:pPr>
              <w:rPr>
                <w:rStyle w:val="Firstpagetablebold"/>
                <w:rFonts w:cs="Arial"/>
              </w:rPr>
            </w:pPr>
            <w:r>
              <w:rPr>
                <w:rStyle w:val="Firstpagetablebold"/>
              </w:rPr>
              <w:t>Policy Framework:</w:t>
            </w:r>
          </w:p>
        </w:tc>
        <w:tc>
          <w:tcPr>
            <w:tcW w:w="6407" w:type="dxa"/>
            <w:tcBorders>
              <w:top w:val="nil"/>
              <w:left w:val="nil"/>
              <w:bottom w:val="single" w:sz="4" w:space="0" w:color="auto"/>
              <w:right w:val="single" w:sz="8" w:space="0" w:color="000000" w:themeColor="text1"/>
            </w:tcBorders>
          </w:tcPr>
          <w:p w14:paraId="4C1C7DD3" w14:textId="64640AE0" w:rsidR="00E508A1" w:rsidRPr="00C55247" w:rsidRDefault="00254D7E" w:rsidP="00E508A1">
            <w:pPr>
              <w:rPr>
                <w:rFonts w:cs="Arial"/>
                <w:color w:val="auto"/>
              </w:rPr>
            </w:pPr>
            <w:r>
              <w:rPr>
                <w:color w:val="auto"/>
              </w:rPr>
              <w:t>None.</w:t>
            </w:r>
          </w:p>
        </w:tc>
      </w:tr>
    </w:tbl>
    <w:p w14:paraId="759F4236" w14:textId="77777777" w:rsidR="00CE544A" w:rsidRDefault="00CE544A" w:rsidP="004A6D2F">
      <w:pPr>
        <w:rPr>
          <w:rFonts w:cs="Arial"/>
        </w:rPr>
      </w:pPr>
    </w:p>
    <w:tbl>
      <w:tblPr>
        <w:tblW w:w="0" w:type="auto"/>
        <w:tblInd w:w="108" w:type="dxa"/>
        <w:tblBorders>
          <w:top w:val="single" w:sz="8" w:space="0" w:color="000000"/>
          <w:left w:val="single" w:sz="8" w:space="0" w:color="000000"/>
          <w:bottom w:val="single" w:sz="4" w:space="0" w:color="auto"/>
          <w:right w:val="single" w:sz="8" w:space="0" w:color="000000"/>
          <w:insideH w:val="single" w:sz="8" w:space="0" w:color="000000"/>
        </w:tblBorders>
        <w:tblLook w:val="04A0" w:firstRow="1" w:lastRow="0" w:firstColumn="1" w:lastColumn="0" w:noHBand="0" w:noVBand="1"/>
      </w:tblPr>
      <w:tblGrid>
        <w:gridCol w:w="426"/>
        <w:gridCol w:w="8419"/>
      </w:tblGrid>
      <w:tr w:rsidR="00340B77" w:rsidRPr="00975B07" w14:paraId="6AB9E16B" w14:textId="77777777" w:rsidTr="3CAA449D">
        <w:trPr>
          <w:trHeight w:val="413"/>
        </w:trPr>
        <w:tc>
          <w:tcPr>
            <w:tcW w:w="8845" w:type="dxa"/>
            <w:gridSpan w:val="2"/>
          </w:tcPr>
          <w:p w14:paraId="39BB8A6A" w14:textId="03DDB4E0" w:rsidR="00340B77" w:rsidRPr="00975B07" w:rsidRDefault="00635E3E" w:rsidP="00FD0B08">
            <w:r>
              <w:t xml:space="preserve">The </w:t>
            </w:r>
            <w:r w:rsidR="009D3D0B">
              <w:t>Deputy Chief Executive</w:t>
            </w:r>
            <w:r>
              <w:t xml:space="preserve"> decides as follows: </w:t>
            </w:r>
          </w:p>
        </w:tc>
      </w:tr>
      <w:tr w:rsidR="00340B77" w:rsidRPr="00975B07" w14:paraId="1817F3CE" w14:textId="77777777" w:rsidTr="3CAA449D">
        <w:trPr>
          <w:trHeight w:val="283"/>
        </w:trPr>
        <w:tc>
          <w:tcPr>
            <w:tcW w:w="426" w:type="dxa"/>
          </w:tcPr>
          <w:p w14:paraId="7809A8B3" w14:textId="77777777" w:rsidR="00340B77" w:rsidRPr="00975B07" w:rsidRDefault="00340B77" w:rsidP="00FD0B08">
            <w:r w:rsidRPr="00975B07">
              <w:t>1.</w:t>
            </w:r>
          </w:p>
        </w:tc>
        <w:tc>
          <w:tcPr>
            <w:tcW w:w="8419" w:type="dxa"/>
          </w:tcPr>
          <w:p w14:paraId="2599CB46" w14:textId="34C3037A" w:rsidR="00340B77" w:rsidRPr="001356F1" w:rsidRDefault="003D7A19" w:rsidP="3CAA449D">
            <w:pPr>
              <w:rPr>
                <w:rFonts w:cs="Arial"/>
                <w:color w:val="auto"/>
              </w:rPr>
            </w:pPr>
            <w:r w:rsidRPr="3CAA449D">
              <w:rPr>
                <w:rFonts w:cs="Arial"/>
                <w:color w:val="auto"/>
              </w:rPr>
              <w:t xml:space="preserve">To </w:t>
            </w:r>
            <w:r w:rsidR="00CA5E87" w:rsidRPr="3CAA449D">
              <w:rPr>
                <w:rFonts w:cs="Arial"/>
                <w:color w:val="auto"/>
              </w:rPr>
              <w:t>purchase</w:t>
            </w:r>
            <w:r w:rsidR="684F7210" w:rsidRPr="3CAA449D">
              <w:rPr>
                <w:rFonts w:cs="Arial"/>
                <w:color w:val="auto"/>
              </w:rPr>
              <w:t xml:space="preserve"> a 4-bedroom house at </w:t>
            </w:r>
            <w:r w:rsidR="684F7210" w:rsidRPr="3CAA449D">
              <w:rPr>
                <w:rFonts w:eastAsia="Arial" w:cs="Arial"/>
              </w:rPr>
              <w:t>62 kestrel crescent, Blackbird leys, Oxford, OX4 6DZ for £355,000</w:t>
            </w:r>
            <w:r w:rsidR="684F7210" w:rsidRPr="3CAA449D">
              <w:rPr>
                <w:rFonts w:cs="Arial"/>
                <w:color w:val="auto"/>
              </w:rPr>
              <w:t xml:space="preserve"> to be allocated to RRTBR 25/26 programme </w:t>
            </w:r>
            <w:r w:rsidR="684F7210">
              <w:t>for general needs social rent</w:t>
            </w:r>
            <w:r w:rsidR="684F7210" w:rsidRPr="3CAA449D">
              <w:rPr>
                <w:rFonts w:cs="Arial"/>
                <w:color w:val="auto"/>
              </w:rPr>
              <w:t>.</w:t>
            </w:r>
          </w:p>
        </w:tc>
      </w:tr>
    </w:tbl>
    <w:p w14:paraId="73806377" w14:textId="77777777" w:rsidR="00060953" w:rsidRPr="003E4C33" w:rsidRDefault="00060953" w:rsidP="004A6D2F">
      <w:pPr>
        <w:rPr>
          <w:rFonts w:cs="Arial"/>
        </w:rPr>
      </w:pPr>
    </w:p>
    <w:p w14:paraId="0DB47738" w14:textId="2480D46B" w:rsidR="3CAA449D" w:rsidRDefault="3CAA449D" w:rsidP="3CAA449D">
      <w:pPr>
        <w:rPr>
          <w:rFonts w:cs="Arial"/>
        </w:rPr>
      </w:pPr>
    </w:p>
    <w:tbl>
      <w:tblPr>
        <w:tblW w:w="0" w:type="auto"/>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912"/>
        <w:gridCol w:w="2803"/>
        <w:gridCol w:w="4455"/>
      </w:tblGrid>
      <w:tr w:rsidR="004A39C3" w:rsidRPr="003E4C33" w14:paraId="1B1B668F" w14:textId="77777777" w:rsidTr="6705CB2F">
        <w:trPr>
          <w:trHeight w:val="300"/>
        </w:trPr>
        <w:tc>
          <w:tcPr>
            <w:tcW w:w="1912" w:type="dxa"/>
            <w:tcBorders>
              <w:bottom w:val="single" w:sz="4" w:space="0" w:color="auto"/>
            </w:tcBorders>
          </w:tcPr>
          <w:p w14:paraId="074FB3AC" w14:textId="4B24A879" w:rsidR="004A39C3" w:rsidRPr="003E4C33" w:rsidRDefault="004A39C3" w:rsidP="004D7DC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sz="4" w:space="0" w:color="auto"/>
            </w:tcBorders>
          </w:tcPr>
          <w:p w14:paraId="17AC6EFC" w14:textId="287FF34B" w:rsidR="004A39C3" w:rsidRPr="003E4C33" w:rsidRDefault="004A39C3" w:rsidP="004D7DC7">
            <w:pPr>
              <w:jc w:val="center"/>
              <w:rPr>
                <w:rStyle w:val="Firstpagetablebold"/>
                <w:rFonts w:cs="Arial"/>
              </w:rPr>
            </w:pPr>
            <w:r>
              <w:rPr>
                <w:rStyle w:val="Firstpagetablebold"/>
                <w:rFonts w:cs="Arial"/>
              </w:rPr>
              <w:t xml:space="preserve">Appendix Title </w:t>
            </w:r>
          </w:p>
        </w:tc>
        <w:tc>
          <w:tcPr>
            <w:tcW w:w="4455" w:type="dxa"/>
            <w:tcBorders>
              <w:bottom w:val="single" w:sz="4" w:space="0" w:color="auto"/>
            </w:tcBorders>
          </w:tcPr>
          <w:p w14:paraId="3F542BA6" w14:textId="3D79D3D9" w:rsidR="004A39C3" w:rsidRPr="003E4C33" w:rsidRDefault="004A39C3" w:rsidP="004D7DC7">
            <w:pPr>
              <w:jc w:val="center"/>
              <w:rPr>
                <w:rStyle w:val="Firstpagetablebold"/>
                <w:rFonts w:cs="Arial"/>
              </w:rPr>
            </w:pPr>
            <w:r>
              <w:rPr>
                <w:rStyle w:val="Firstpagetablebold"/>
                <w:rFonts w:cs="Arial"/>
              </w:rPr>
              <w:t>Exempt from Publication</w:t>
            </w:r>
          </w:p>
        </w:tc>
      </w:tr>
      <w:tr w:rsidR="006E1FA1" w:rsidRPr="003E4C33" w14:paraId="65A82881" w14:textId="77777777" w:rsidTr="6705CB2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00"/>
        </w:trPr>
        <w:tc>
          <w:tcPr>
            <w:tcW w:w="1912" w:type="dxa"/>
            <w:tcBorders>
              <w:top w:val="single" w:sz="4" w:space="0" w:color="auto"/>
              <w:left w:val="single" w:sz="4" w:space="0" w:color="auto"/>
              <w:bottom w:val="single" w:sz="4" w:space="0" w:color="auto"/>
              <w:right w:val="single" w:sz="4" w:space="0" w:color="auto"/>
            </w:tcBorders>
          </w:tcPr>
          <w:p w14:paraId="141C8FF5" w14:textId="016E90DC" w:rsidR="006E1FA1" w:rsidRPr="00C55247" w:rsidRDefault="006E1FA1" w:rsidP="004D7DC7">
            <w:pPr>
              <w:rPr>
                <w:rStyle w:val="Firstpagetablebold"/>
                <w:rFonts w:cs="Arial"/>
                <w:color w:val="auto"/>
              </w:rPr>
            </w:pPr>
            <w:r w:rsidRPr="00C55247">
              <w:rPr>
                <w:rStyle w:val="Firstpagetablebold"/>
                <w:rFonts w:cs="Arial"/>
                <w:color w:val="auto"/>
              </w:rPr>
              <w:t>Appendix 1</w:t>
            </w:r>
          </w:p>
        </w:tc>
        <w:tc>
          <w:tcPr>
            <w:tcW w:w="2803" w:type="dxa"/>
            <w:tcBorders>
              <w:top w:val="single" w:sz="4" w:space="0" w:color="auto"/>
              <w:left w:val="single" w:sz="4" w:space="0" w:color="auto"/>
              <w:bottom w:val="single" w:sz="4" w:space="0" w:color="auto"/>
              <w:right w:val="single" w:sz="4" w:space="0" w:color="auto"/>
            </w:tcBorders>
          </w:tcPr>
          <w:p w14:paraId="012A0FE8" w14:textId="542FE57F" w:rsidR="00060953"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4" w:space="0" w:color="auto"/>
            </w:tcBorders>
          </w:tcPr>
          <w:p w14:paraId="26CB7083" w14:textId="14133C28" w:rsidR="004A39C3" w:rsidRPr="00060953" w:rsidRDefault="004A39C3" w:rsidP="00060953">
            <w:pPr>
              <w:ind w:left="426" w:hanging="426"/>
              <w:rPr>
                <w:rFonts w:cs="Arial"/>
                <w:color w:val="auto"/>
              </w:rPr>
            </w:pPr>
          </w:p>
        </w:tc>
      </w:tr>
      <w:tr w:rsidR="006E1FA1" w:rsidRPr="003E4C33" w14:paraId="3B1E005F" w14:textId="77777777" w:rsidTr="6705CB2F">
        <w:trPr>
          <w:trHeight w:val="300"/>
        </w:trPr>
        <w:tc>
          <w:tcPr>
            <w:tcW w:w="1912" w:type="dxa"/>
            <w:tcBorders>
              <w:top w:val="single" w:sz="4" w:space="0" w:color="auto"/>
              <w:left w:val="single" w:sz="8" w:space="0" w:color="000000" w:themeColor="text1"/>
              <w:bottom w:val="single" w:sz="4" w:space="0" w:color="auto"/>
              <w:right w:val="single" w:sz="4" w:space="0" w:color="auto"/>
            </w:tcBorders>
          </w:tcPr>
          <w:p w14:paraId="7F26D1AC" w14:textId="648269A5" w:rsidR="006E1FA1" w:rsidRPr="00C55247" w:rsidRDefault="00764BAF" w:rsidP="0BC4DFF5">
            <w:pPr>
              <w:rPr>
                <w:rStyle w:val="Firstpagetablebold"/>
                <w:rFonts w:cs="Arial"/>
                <w:color w:val="auto"/>
              </w:rPr>
            </w:pPr>
            <w:r w:rsidRPr="00C55247">
              <w:rPr>
                <w:rStyle w:val="Firstpagetablebold"/>
                <w:rFonts w:cs="Arial"/>
                <w:color w:val="auto"/>
              </w:rPr>
              <w:lastRenderedPageBreak/>
              <w:t xml:space="preserve">Appendix 2 </w:t>
            </w:r>
          </w:p>
        </w:tc>
        <w:tc>
          <w:tcPr>
            <w:tcW w:w="2803" w:type="dxa"/>
            <w:tcBorders>
              <w:top w:val="single" w:sz="4" w:space="0" w:color="auto"/>
              <w:left w:val="single" w:sz="4" w:space="0" w:color="auto"/>
              <w:bottom w:val="single" w:sz="4" w:space="0" w:color="auto"/>
              <w:right w:val="single" w:sz="4" w:space="0" w:color="auto"/>
            </w:tcBorders>
          </w:tcPr>
          <w:p w14:paraId="327FA8BD" w14:textId="4C2D7E1C" w:rsidR="006E1FA1" w:rsidRPr="00C55247" w:rsidRDefault="00060953" w:rsidP="00060953">
            <w:pPr>
              <w:jc w:val="center"/>
              <w:rPr>
                <w:rFonts w:cs="Arial"/>
                <w:color w:val="auto"/>
              </w:rPr>
            </w:pPr>
            <w:r>
              <w:rPr>
                <w:rFonts w:cs="Arial"/>
                <w:color w:val="auto"/>
              </w:rPr>
              <w:t>N/A</w:t>
            </w:r>
          </w:p>
        </w:tc>
        <w:tc>
          <w:tcPr>
            <w:tcW w:w="4455" w:type="dxa"/>
            <w:tcBorders>
              <w:top w:val="single" w:sz="4" w:space="0" w:color="auto"/>
              <w:left w:val="single" w:sz="4" w:space="0" w:color="auto"/>
              <w:bottom w:val="single" w:sz="4" w:space="0" w:color="auto"/>
              <w:right w:val="single" w:sz="8" w:space="0" w:color="000000" w:themeColor="text1"/>
            </w:tcBorders>
          </w:tcPr>
          <w:p w14:paraId="41AD9445" w14:textId="6C028909" w:rsidR="006E1FA1" w:rsidRPr="00C55247" w:rsidRDefault="006E1FA1" w:rsidP="004A39C3">
            <w:pPr>
              <w:rPr>
                <w:rFonts w:cs="Arial"/>
                <w:color w:val="auto"/>
              </w:rPr>
            </w:pPr>
          </w:p>
        </w:tc>
      </w:tr>
    </w:tbl>
    <w:p w14:paraId="4931F015" w14:textId="65D8B7FC" w:rsidR="003D7A19" w:rsidRPr="003D7A19" w:rsidRDefault="00F66DCA" w:rsidP="3CAA449D">
      <w:pPr>
        <w:pStyle w:val="Heading1"/>
        <w:rPr>
          <w:rFonts w:cs="Arial"/>
        </w:rPr>
      </w:pPr>
      <w:r w:rsidRPr="3CAA449D">
        <w:rPr>
          <w:rFonts w:cs="Arial"/>
        </w:rPr>
        <w:t>Introduction and b</w:t>
      </w:r>
      <w:r w:rsidR="00151888" w:rsidRPr="3CAA449D">
        <w:rPr>
          <w:rFonts w:cs="Arial"/>
        </w:rPr>
        <w:t>ackground</w:t>
      </w:r>
      <w:r w:rsidR="00404032" w:rsidRPr="3CAA449D">
        <w:rPr>
          <w:rFonts w:cs="Arial"/>
        </w:rPr>
        <w:t xml:space="preserve"> </w:t>
      </w:r>
    </w:p>
    <w:p w14:paraId="4043BB34" w14:textId="75856580" w:rsidR="00060953" w:rsidRDefault="00060953" w:rsidP="00060953">
      <w:r>
        <w:t xml:space="preserve">As </w:t>
      </w:r>
      <w:bookmarkStart w:id="0" w:name="_Int_sgd4jkOI"/>
      <w:proofErr w:type="gramStart"/>
      <w:r>
        <w:t>at</w:t>
      </w:r>
      <w:bookmarkEnd w:id="0"/>
      <w:proofErr w:type="gramEnd"/>
      <w:r>
        <w:t xml:space="preserve"> 17</w:t>
      </w:r>
      <w:r w:rsidRPr="3CAA449D">
        <w:rPr>
          <w:vertAlign w:val="superscript"/>
        </w:rPr>
        <w:t>th</w:t>
      </w:r>
      <w:r>
        <w:t xml:space="preserve"> April 2024 cabinet made the decision to use Retained Right to Buy Receipts for the provision of additional affordable housing into the Housing Revenue Account. </w:t>
      </w:r>
      <w:r w:rsidR="00A15F71">
        <w:t>This form of delivery allows us to respond to the immediate housing need.</w:t>
      </w:r>
    </w:p>
    <w:p w14:paraId="2FDE87F3" w14:textId="1993DCEF" w:rsidR="00A15F71" w:rsidRDefault="006B2DE1" w:rsidP="00A15F71">
      <w:pPr>
        <w:pStyle w:val="Heading1"/>
        <w:rPr>
          <w:rFonts w:cs="Arial"/>
          <w:color w:val="auto"/>
        </w:rPr>
      </w:pPr>
      <w:r w:rsidRPr="00C55247">
        <w:rPr>
          <w:rFonts w:cs="Arial"/>
          <w:color w:val="auto"/>
        </w:rPr>
        <w:t xml:space="preserve">Reasons for the decision </w:t>
      </w:r>
    </w:p>
    <w:p w14:paraId="636F4F35" w14:textId="3D5972AA" w:rsidR="00A15F71" w:rsidRPr="00A15F71" w:rsidRDefault="00A15F71" w:rsidP="3CAA449D">
      <w:r>
        <w:t>In response the above, the decision</w:t>
      </w:r>
      <w:r w:rsidR="00CA5E87">
        <w:t xml:space="preserve"> has been made</w:t>
      </w:r>
      <w:r>
        <w:t xml:space="preserve"> to use allocated funds of </w:t>
      </w:r>
      <w:r w:rsidR="00E292BB">
        <w:t>£355</w:t>
      </w:r>
      <w:r w:rsidR="00CA5E87" w:rsidRPr="3CAA449D">
        <w:rPr>
          <w:rFonts w:cs="Arial"/>
          <w:color w:val="auto"/>
        </w:rPr>
        <w:t xml:space="preserve">,000 to purchase a </w:t>
      </w:r>
      <w:r w:rsidR="773D8290" w:rsidRPr="3CAA449D">
        <w:rPr>
          <w:rFonts w:cs="Arial"/>
          <w:color w:val="auto"/>
        </w:rPr>
        <w:t>4</w:t>
      </w:r>
      <w:r w:rsidR="00CA5E87" w:rsidRPr="3CAA449D">
        <w:rPr>
          <w:rFonts w:cs="Arial"/>
          <w:color w:val="auto"/>
        </w:rPr>
        <w:t>-bedroom</w:t>
      </w:r>
      <w:r w:rsidR="1E050563" w:rsidRPr="3CAA449D">
        <w:rPr>
          <w:rFonts w:cs="Arial"/>
          <w:color w:val="auto"/>
        </w:rPr>
        <w:t xml:space="preserve"> house</w:t>
      </w:r>
      <w:r w:rsidR="00CA5E87" w:rsidRPr="3CAA449D">
        <w:rPr>
          <w:rFonts w:cs="Arial"/>
          <w:color w:val="auto"/>
        </w:rPr>
        <w:t xml:space="preserve"> at </w:t>
      </w:r>
      <w:r w:rsidR="66DDE0E0" w:rsidRPr="3CAA449D">
        <w:rPr>
          <w:rFonts w:eastAsia="Arial" w:cs="Arial"/>
        </w:rPr>
        <w:t>62 kestrel crescent, Blackbird leys, Oxford, OX4 6DZ</w:t>
      </w:r>
      <w:r w:rsidR="66DDE0E0" w:rsidRPr="3CAA449D">
        <w:rPr>
          <w:rFonts w:cs="Arial"/>
          <w:color w:val="auto"/>
        </w:rPr>
        <w:t xml:space="preserve"> </w:t>
      </w:r>
      <w:bookmarkStart w:id="1" w:name="_Int_GAUv9zLy"/>
      <w:proofErr w:type="gramStart"/>
      <w:r w:rsidR="003D7A19" w:rsidRPr="3CAA449D">
        <w:rPr>
          <w:rFonts w:cs="Arial"/>
          <w:color w:val="auto"/>
        </w:rPr>
        <w:t>in order to</w:t>
      </w:r>
      <w:bookmarkEnd w:id="1"/>
      <w:proofErr w:type="gramEnd"/>
      <w:r w:rsidR="003D7A19" w:rsidRPr="3CAA449D">
        <w:rPr>
          <w:rFonts w:cs="Arial"/>
          <w:color w:val="auto"/>
        </w:rPr>
        <w:t xml:space="preserve"> provide 1 more additional affordable housing unit for the HRA to respond to the immediate housing need.</w:t>
      </w:r>
    </w:p>
    <w:p w14:paraId="052FBB38" w14:textId="499CEEC0" w:rsidR="006C7D2E" w:rsidRPr="00C55247" w:rsidRDefault="006C7D2E" w:rsidP="006C7D2E">
      <w:pPr>
        <w:pStyle w:val="Heading1"/>
        <w:rPr>
          <w:rFonts w:cs="Arial"/>
          <w:color w:val="auto"/>
        </w:rPr>
      </w:pPr>
      <w:r w:rsidRPr="00C55247">
        <w:rPr>
          <w:rFonts w:cs="Arial"/>
          <w:color w:val="auto"/>
        </w:rPr>
        <w:t xml:space="preserve">Alternative Options Considered </w:t>
      </w:r>
    </w:p>
    <w:p w14:paraId="6B285B88" w14:textId="41FD484C" w:rsidR="006C7D2E" w:rsidRPr="00C55247" w:rsidRDefault="00A15F71" w:rsidP="6705CB2F">
      <w:pPr>
        <w:pStyle w:val="bParagraphtext"/>
        <w:numPr>
          <w:ilvl w:val="0"/>
          <w:numId w:val="0"/>
        </w:numPr>
        <w:rPr>
          <w:rFonts w:cs="Arial"/>
          <w:color w:val="auto"/>
        </w:rPr>
      </w:pPr>
      <w:r w:rsidRPr="3CAA449D">
        <w:rPr>
          <w:rFonts w:cs="Arial"/>
          <w:color w:val="auto"/>
        </w:rPr>
        <w:t>None.</w:t>
      </w:r>
      <w:r w:rsidR="00241830" w:rsidRPr="3CAA449D">
        <w:rPr>
          <w:rFonts w:cs="Arial"/>
          <w:color w:val="auto"/>
        </w:rPr>
        <w:t xml:space="preserve"> </w:t>
      </w:r>
      <w:r w:rsidR="464594E3" w:rsidRPr="3CAA449D">
        <w:rPr>
          <w:rFonts w:cs="Arial"/>
          <w:color w:val="auto"/>
        </w:rPr>
        <w:t xml:space="preserve"> </w:t>
      </w:r>
    </w:p>
    <w:p w14:paraId="38125097" w14:textId="3B73CF16" w:rsidR="008F1BB4" w:rsidRPr="00C55247" w:rsidRDefault="008F1BB4" w:rsidP="001A1BA1">
      <w:pPr>
        <w:pStyle w:val="Heading1"/>
        <w:rPr>
          <w:rFonts w:cs="Arial"/>
          <w:color w:val="auto"/>
        </w:rPr>
      </w:pPr>
      <w:r w:rsidRPr="00C55247">
        <w:rPr>
          <w:rFonts w:cs="Arial"/>
          <w:color w:val="auto"/>
        </w:rPr>
        <w:t xml:space="preserve">Equalities Impact </w:t>
      </w:r>
    </w:p>
    <w:p w14:paraId="46C94C97" w14:textId="43CFAD87" w:rsidR="009D3627" w:rsidRPr="00A15F71" w:rsidRDefault="00A15F71" w:rsidP="00A15F71">
      <w:pPr>
        <w:ind w:left="426" w:hanging="426"/>
        <w:rPr>
          <w:color w:val="auto"/>
        </w:rPr>
      </w:pPr>
      <w:r>
        <w:rPr>
          <w:color w:val="auto"/>
        </w:rPr>
        <w:t>N/A</w:t>
      </w:r>
    </w:p>
    <w:p w14:paraId="40BA4254" w14:textId="77777777" w:rsidR="00A15F71" w:rsidRDefault="009E68E0" w:rsidP="00A15F71">
      <w:pPr>
        <w:pStyle w:val="Heading1"/>
        <w:rPr>
          <w:rFonts w:cs="Arial"/>
          <w:color w:val="auto"/>
        </w:rPr>
      </w:pPr>
      <w:r w:rsidRPr="00C55247">
        <w:rPr>
          <w:rFonts w:cs="Arial"/>
          <w:color w:val="auto"/>
        </w:rPr>
        <w:t>Risks</w:t>
      </w:r>
    </w:p>
    <w:p w14:paraId="47048F5D" w14:textId="450905FE" w:rsidR="00A15F71" w:rsidRPr="00A15F71" w:rsidRDefault="00A15F71" w:rsidP="00A15F71">
      <w:pPr>
        <w:pStyle w:val="Heading1"/>
        <w:rPr>
          <w:rFonts w:cs="Arial"/>
          <w:b w:val="0"/>
          <w:bCs/>
          <w:color w:val="auto"/>
        </w:rPr>
      </w:pPr>
      <w:r w:rsidRPr="00A15F71">
        <w:rPr>
          <w:rFonts w:cs="Arial"/>
          <w:b w:val="0"/>
          <w:bCs/>
          <w:color w:val="auto"/>
        </w:rPr>
        <w:t>None – N/</w:t>
      </w:r>
      <w:r>
        <w:rPr>
          <w:rFonts w:cs="Arial"/>
          <w:b w:val="0"/>
          <w:bCs/>
          <w:color w:val="auto"/>
        </w:rPr>
        <w:t>A</w:t>
      </w:r>
    </w:p>
    <w:p w14:paraId="6A43684D" w14:textId="2E9937F5" w:rsidR="00630829" w:rsidRPr="00A15F71" w:rsidRDefault="00630829" w:rsidP="00A15F71">
      <w:pPr>
        <w:pStyle w:val="Heading1"/>
        <w:rPr>
          <w:rFonts w:cs="Arial"/>
          <w:color w:val="auto"/>
        </w:rPr>
      </w:pPr>
      <w:r w:rsidRPr="00C55247">
        <w:rPr>
          <w:color w:val="auto"/>
        </w:rPr>
        <w:t xml:space="preserve">Carbon and Environmental Considerations </w:t>
      </w:r>
    </w:p>
    <w:p w14:paraId="54B07A27" w14:textId="282310CA" w:rsidR="00C82ED0" w:rsidRPr="00A15F71" w:rsidRDefault="00A15F71" w:rsidP="00A15F71">
      <w:pPr>
        <w:pStyle w:val="bParagraphtext"/>
        <w:numPr>
          <w:ilvl w:val="0"/>
          <w:numId w:val="0"/>
        </w:numPr>
        <w:ind w:left="426" w:hanging="426"/>
        <w:rPr>
          <w:color w:val="auto"/>
        </w:rPr>
      </w:pPr>
      <w:r>
        <w:rPr>
          <w:color w:val="auto"/>
        </w:rPr>
        <w:t>N/A</w:t>
      </w:r>
    </w:p>
    <w:p w14:paraId="21DFCD67" w14:textId="21D7A2CA" w:rsidR="00A15F71" w:rsidRPr="00A15F71" w:rsidRDefault="001A1BA1" w:rsidP="00A15F71">
      <w:pPr>
        <w:pStyle w:val="Heading1"/>
        <w:rPr>
          <w:rFonts w:cs="Arial"/>
        </w:rPr>
      </w:pPr>
      <w:r w:rsidRPr="003E4C33">
        <w:rPr>
          <w:rFonts w:cs="Arial"/>
        </w:rPr>
        <w:t>I</w:t>
      </w:r>
      <w:r w:rsidR="00E87F7A" w:rsidRPr="003E4C33">
        <w:rPr>
          <w:rFonts w:cs="Arial"/>
        </w:rPr>
        <w:t xml:space="preserve">mplications </w:t>
      </w:r>
      <w:r w:rsidR="67763C94" w:rsidRPr="003E4C33">
        <w:rPr>
          <w:rFonts w:cs="Arial"/>
        </w:rPr>
        <w:t>of making the decision</w:t>
      </w:r>
      <w:r w:rsidR="00E87F7A" w:rsidRPr="003E4C33">
        <w:rPr>
          <w:rFonts w:cs="Arial"/>
        </w:rPr>
        <w:t xml:space="preserve"> </w:t>
      </w:r>
    </w:p>
    <w:p w14:paraId="1076846B" w14:textId="77777777" w:rsidR="00A15F71" w:rsidRPr="00A15F71" w:rsidRDefault="00A15F71" w:rsidP="00A15F71"/>
    <w:tbl>
      <w:tblPr>
        <w:tblStyle w:val="TableGrid"/>
        <w:tblW w:w="0" w:type="auto"/>
        <w:tblLook w:val="04A0" w:firstRow="1" w:lastRow="0" w:firstColumn="1" w:lastColumn="0" w:noHBand="0" w:noVBand="1"/>
      </w:tblPr>
      <w:tblGrid>
        <w:gridCol w:w="1883"/>
        <w:gridCol w:w="4379"/>
        <w:gridCol w:w="3026"/>
      </w:tblGrid>
      <w:tr w:rsidR="00372A82" w:rsidRPr="003E4C33" w14:paraId="44F594ED" w14:textId="77777777" w:rsidTr="3CAA449D">
        <w:tc>
          <w:tcPr>
            <w:tcW w:w="1883" w:type="dxa"/>
          </w:tcPr>
          <w:p w14:paraId="2AB1A861" w14:textId="77777777" w:rsidR="00372A82" w:rsidRPr="009D3D0B" w:rsidRDefault="00372A82" w:rsidP="00C076B9">
            <w:pPr>
              <w:pStyle w:val="Bulletpoints"/>
              <w:numPr>
                <w:ilvl w:val="0"/>
                <w:numId w:val="0"/>
              </w:numPr>
              <w:rPr>
                <w:rFonts w:cs="Arial"/>
                <w:b/>
              </w:rPr>
            </w:pPr>
            <w:r w:rsidRPr="009D3D0B">
              <w:rPr>
                <w:rFonts w:cs="Arial"/>
                <w:b/>
              </w:rPr>
              <w:t>Financial implications</w:t>
            </w:r>
          </w:p>
        </w:tc>
        <w:tc>
          <w:tcPr>
            <w:tcW w:w="4379" w:type="dxa"/>
          </w:tcPr>
          <w:p w14:paraId="7C954C21" w14:textId="249F812C" w:rsidR="009D3D0B" w:rsidRPr="009D3D0B" w:rsidRDefault="003D7A19" w:rsidP="009D3D0B">
            <w:pPr>
              <w:rPr>
                <w:rStyle w:val="bParagraphtextChar"/>
                <w:rFonts w:cs="Arial"/>
                <w:color w:val="auto"/>
              </w:rPr>
            </w:pPr>
            <w:r>
              <w:rPr>
                <w:rStyle w:val="bParagraphtextChar"/>
                <w:rFonts w:cs="Arial"/>
                <w:color w:val="auto"/>
              </w:rPr>
              <w:t>None.</w:t>
            </w:r>
          </w:p>
          <w:p w14:paraId="0696855A" w14:textId="647737E9" w:rsidR="00372A82" w:rsidRPr="009D3D0B" w:rsidRDefault="00CB7A4F" w:rsidP="00CB7A4F">
            <w:pPr>
              <w:rPr>
                <w:rFonts w:cs="Arial"/>
                <w:color w:val="auto"/>
              </w:rPr>
            </w:pPr>
            <w:r w:rsidRPr="009D3D0B">
              <w:rPr>
                <w:rStyle w:val="bParagraphtextChar"/>
                <w:rFonts w:cs="Arial"/>
                <w:color w:val="auto"/>
              </w:rPr>
              <w:t xml:space="preserve"> </w:t>
            </w:r>
          </w:p>
        </w:tc>
        <w:tc>
          <w:tcPr>
            <w:tcW w:w="3026" w:type="dxa"/>
          </w:tcPr>
          <w:p w14:paraId="57868ECF" w14:textId="64293370" w:rsidR="00372A82" w:rsidRPr="009D3D0B" w:rsidRDefault="001A1BA1" w:rsidP="00C076B9">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w:t>
            </w:r>
            <w:r w:rsidR="003D7A19">
              <w:rPr>
                <w:b/>
              </w:rPr>
              <w:t>Nigel Kennedy</w:t>
            </w:r>
          </w:p>
          <w:p w14:paraId="003D265E" w14:textId="79673A6F" w:rsidR="001A1BA1" w:rsidRPr="009D3D0B" w:rsidRDefault="001A1BA1" w:rsidP="3CAA449D">
            <w:pPr>
              <w:pStyle w:val="Bulletpoints"/>
              <w:numPr>
                <w:ilvl w:val="0"/>
                <w:numId w:val="0"/>
              </w:numPr>
              <w:rPr>
                <w:rFonts w:cs="Arial"/>
                <w:b/>
                <w:bCs/>
                <w:color w:val="auto"/>
              </w:rPr>
            </w:pPr>
            <w:r w:rsidRPr="3CAA449D">
              <w:rPr>
                <w:rFonts w:cs="Arial"/>
                <w:b/>
                <w:bCs/>
                <w:color w:val="auto"/>
              </w:rPr>
              <w:t>Date:</w:t>
            </w:r>
            <w:r w:rsidR="003D7A19" w:rsidRPr="3CAA449D">
              <w:rPr>
                <w:rFonts w:cs="Arial"/>
                <w:b/>
                <w:bCs/>
                <w:color w:val="auto"/>
              </w:rPr>
              <w:t xml:space="preserve"> </w:t>
            </w:r>
            <w:r w:rsidR="00312AE2">
              <w:rPr>
                <w:rFonts w:cs="Arial"/>
                <w:b/>
                <w:bCs/>
                <w:color w:val="auto"/>
              </w:rPr>
              <w:t>11</w:t>
            </w:r>
            <w:r w:rsidR="443F1D6B" w:rsidRPr="3CAA449D">
              <w:rPr>
                <w:rFonts w:cs="Arial"/>
                <w:b/>
                <w:bCs/>
                <w:color w:val="auto"/>
              </w:rPr>
              <w:t>/</w:t>
            </w:r>
            <w:r w:rsidR="00312AE2">
              <w:rPr>
                <w:rFonts w:cs="Arial"/>
                <w:b/>
                <w:bCs/>
                <w:color w:val="auto"/>
              </w:rPr>
              <w:t>11</w:t>
            </w:r>
            <w:r w:rsidR="443F1D6B" w:rsidRPr="3CAA449D">
              <w:rPr>
                <w:rFonts w:cs="Arial"/>
                <w:b/>
                <w:bCs/>
                <w:color w:val="auto"/>
              </w:rPr>
              <w:t>/</w:t>
            </w:r>
            <w:r w:rsidR="00312AE2">
              <w:rPr>
                <w:rFonts w:cs="Arial"/>
                <w:b/>
                <w:bCs/>
                <w:color w:val="auto"/>
              </w:rPr>
              <w:t>2025</w:t>
            </w:r>
          </w:p>
        </w:tc>
      </w:tr>
      <w:tr w:rsidR="00372A82" w:rsidRPr="003E4C33" w14:paraId="7D8DECFB" w14:textId="77777777" w:rsidTr="3CAA449D">
        <w:tc>
          <w:tcPr>
            <w:tcW w:w="1883" w:type="dxa"/>
          </w:tcPr>
          <w:p w14:paraId="1C5F2B75" w14:textId="77777777" w:rsidR="00372A82" w:rsidRPr="009D3D0B" w:rsidRDefault="00372A82" w:rsidP="008A34D3">
            <w:pPr>
              <w:pStyle w:val="Bulletpoints"/>
              <w:numPr>
                <w:ilvl w:val="0"/>
                <w:numId w:val="0"/>
              </w:numPr>
              <w:rPr>
                <w:rFonts w:cs="Arial"/>
                <w:b/>
              </w:rPr>
            </w:pPr>
            <w:r w:rsidRPr="009D3D0B">
              <w:rPr>
                <w:rFonts w:cs="Arial"/>
                <w:b/>
              </w:rPr>
              <w:t xml:space="preserve">Legal </w:t>
            </w:r>
            <w:r w:rsidR="008A34D3" w:rsidRPr="009D3D0B">
              <w:rPr>
                <w:rFonts w:cs="Arial"/>
                <w:b/>
              </w:rPr>
              <w:t xml:space="preserve">implications </w:t>
            </w:r>
          </w:p>
        </w:tc>
        <w:tc>
          <w:tcPr>
            <w:tcW w:w="4379" w:type="dxa"/>
          </w:tcPr>
          <w:p w14:paraId="11BAD199" w14:textId="7ED9B03B" w:rsidR="00372A82" w:rsidRPr="009D3D0B" w:rsidRDefault="003D7A19" w:rsidP="00CB7A4F">
            <w:pPr>
              <w:rPr>
                <w:rFonts w:cs="Arial"/>
                <w:color w:val="auto"/>
              </w:rPr>
            </w:pPr>
            <w:r>
              <w:rPr>
                <w:rFonts w:cs="Arial"/>
                <w:color w:val="auto"/>
              </w:rPr>
              <w:t>None.</w:t>
            </w:r>
          </w:p>
        </w:tc>
        <w:tc>
          <w:tcPr>
            <w:tcW w:w="3026" w:type="dxa"/>
          </w:tcPr>
          <w:p w14:paraId="47079A0C" w14:textId="01F43771" w:rsidR="001A1BA1" w:rsidRPr="009D3D0B" w:rsidRDefault="001A1BA1" w:rsidP="3CAA449D">
            <w:pPr>
              <w:pStyle w:val="Bulletpoints"/>
              <w:numPr>
                <w:ilvl w:val="0"/>
                <w:numId w:val="0"/>
              </w:numPr>
              <w:rPr>
                <w:rFonts w:cs="Arial"/>
                <w:b/>
                <w:bCs/>
                <w:color w:val="auto"/>
              </w:rPr>
            </w:pPr>
            <w:r w:rsidRPr="3CAA449D">
              <w:rPr>
                <w:rFonts w:cs="Arial"/>
                <w:b/>
                <w:bCs/>
                <w:color w:val="auto"/>
              </w:rPr>
              <w:t>Completed by:</w:t>
            </w:r>
            <w:r w:rsidR="003D7A19" w:rsidRPr="3CAA449D">
              <w:rPr>
                <w:rFonts w:cs="Arial"/>
                <w:b/>
                <w:bCs/>
                <w:color w:val="auto"/>
              </w:rPr>
              <w:t xml:space="preserve"> </w:t>
            </w:r>
            <w:r w:rsidR="7EF0C532" w:rsidRPr="3CAA449D">
              <w:rPr>
                <w:rFonts w:cs="Arial"/>
                <w:b/>
                <w:bCs/>
                <w:color w:val="auto"/>
              </w:rPr>
              <w:t>Emm</w:t>
            </w:r>
            <w:r w:rsidR="00312AE2">
              <w:rPr>
                <w:rFonts w:cs="Arial"/>
                <w:b/>
                <w:bCs/>
                <w:color w:val="auto"/>
              </w:rPr>
              <w:t>a-Louise Jackman</w:t>
            </w:r>
          </w:p>
          <w:p w14:paraId="7A5DDA55" w14:textId="57FA6467" w:rsidR="00372A82" w:rsidRPr="009D3D0B" w:rsidRDefault="001A1BA1" w:rsidP="3CAA449D">
            <w:pPr>
              <w:pStyle w:val="Bulletpoints"/>
              <w:numPr>
                <w:ilvl w:val="0"/>
                <w:numId w:val="0"/>
              </w:numPr>
              <w:rPr>
                <w:rFonts w:cs="Arial"/>
                <w:b/>
                <w:bCs/>
                <w:color w:val="auto"/>
              </w:rPr>
            </w:pPr>
            <w:r w:rsidRPr="3CAA449D">
              <w:rPr>
                <w:rFonts w:cs="Arial"/>
                <w:b/>
                <w:bCs/>
                <w:color w:val="auto"/>
              </w:rPr>
              <w:t>Date:</w:t>
            </w:r>
            <w:r w:rsidR="456A5788" w:rsidRPr="3CAA449D">
              <w:rPr>
                <w:rFonts w:cs="Arial"/>
                <w:b/>
                <w:bCs/>
                <w:color w:val="auto"/>
              </w:rPr>
              <w:t xml:space="preserve"> </w:t>
            </w:r>
            <w:r w:rsidR="00312AE2">
              <w:rPr>
                <w:rFonts w:cs="Arial"/>
                <w:b/>
                <w:bCs/>
                <w:color w:val="auto"/>
              </w:rPr>
              <w:t>11</w:t>
            </w:r>
            <w:r w:rsidR="205DA970" w:rsidRPr="3CAA449D">
              <w:rPr>
                <w:rFonts w:cs="Arial"/>
                <w:b/>
                <w:bCs/>
                <w:color w:val="auto"/>
              </w:rPr>
              <w:t>/</w:t>
            </w:r>
            <w:r w:rsidR="00312AE2">
              <w:rPr>
                <w:rFonts w:cs="Arial"/>
                <w:b/>
                <w:bCs/>
                <w:color w:val="auto"/>
              </w:rPr>
              <w:t>11</w:t>
            </w:r>
            <w:r w:rsidR="205DA970" w:rsidRPr="3CAA449D">
              <w:rPr>
                <w:rFonts w:cs="Arial"/>
                <w:b/>
                <w:bCs/>
                <w:color w:val="auto"/>
              </w:rPr>
              <w:t>/</w:t>
            </w:r>
            <w:r w:rsidR="00312AE2">
              <w:rPr>
                <w:rFonts w:cs="Arial"/>
                <w:b/>
                <w:bCs/>
                <w:color w:val="auto"/>
              </w:rPr>
              <w:t>2025</w:t>
            </w:r>
          </w:p>
        </w:tc>
      </w:tr>
      <w:tr w:rsidR="001A1BA1" w:rsidRPr="003E4C33" w14:paraId="6F38FEBF" w14:textId="77777777" w:rsidTr="3CAA449D">
        <w:tc>
          <w:tcPr>
            <w:tcW w:w="1883" w:type="dxa"/>
          </w:tcPr>
          <w:p w14:paraId="48C94DFF" w14:textId="77777777" w:rsidR="001A1BA1" w:rsidRPr="009D3D0B" w:rsidRDefault="001A1BA1" w:rsidP="00C076B9">
            <w:pPr>
              <w:pStyle w:val="Bulletpoints"/>
              <w:numPr>
                <w:ilvl w:val="0"/>
                <w:numId w:val="0"/>
              </w:numPr>
              <w:rPr>
                <w:rFonts w:cs="Arial"/>
                <w:b/>
              </w:rPr>
            </w:pPr>
            <w:r w:rsidRPr="009D3D0B">
              <w:rPr>
                <w:rFonts w:cs="Arial"/>
                <w:b/>
              </w:rPr>
              <w:t>Other implications</w:t>
            </w:r>
          </w:p>
        </w:tc>
        <w:tc>
          <w:tcPr>
            <w:tcW w:w="4379" w:type="dxa"/>
          </w:tcPr>
          <w:p w14:paraId="6DC2105E" w14:textId="61576630" w:rsidR="00CB7A4F" w:rsidRPr="009D3D0B" w:rsidRDefault="009D3D0B" w:rsidP="00372A82">
            <w:pPr>
              <w:pStyle w:val="bParagraphtext"/>
              <w:numPr>
                <w:ilvl w:val="0"/>
                <w:numId w:val="0"/>
              </w:numPr>
              <w:rPr>
                <w:rFonts w:cs="Arial"/>
                <w:color w:val="auto"/>
              </w:rPr>
            </w:pPr>
            <w:r>
              <w:rPr>
                <w:rFonts w:cs="Arial"/>
                <w:color w:val="auto"/>
              </w:rPr>
              <w:t>N</w:t>
            </w:r>
            <w:r w:rsidR="003D7A19">
              <w:rPr>
                <w:rFonts w:cs="Arial"/>
              </w:rPr>
              <w:t>one.</w:t>
            </w:r>
          </w:p>
        </w:tc>
        <w:tc>
          <w:tcPr>
            <w:tcW w:w="3026" w:type="dxa"/>
          </w:tcPr>
          <w:p w14:paraId="48FAD318" w14:textId="4FF4F9F3" w:rsidR="001A1BA1" w:rsidRPr="009D3D0B" w:rsidRDefault="001A1BA1" w:rsidP="001A1BA1">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Andy Dorrington</w:t>
            </w:r>
          </w:p>
          <w:p w14:paraId="68285B07" w14:textId="618D6BF2" w:rsidR="001A1BA1" w:rsidRPr="009D3D0B" w:rsidRDefault="001A1BA1" w:rsidP="3CAA449D">
            <w:pPr>
              <w:pStyle w:val="Bulletpoints"/>
              <w:numPr>
                <w:ilvl w:val="0"/>
                <w:numId w:val="0"/>
              </w:numPr>
              <w:rPr>
                <w:rFonts w:cs="Arial"/>
                <w:b/>
                <w:bCs/>
                <w:color w:val="auto"/>
              </w:rPr>
            </w:pPr>
            <w:r w:rsidRPr="3CAA449D">
              <w:rPr>
                <w:rFonts w:cs="Arial"/>
                <w:b/>
                <w:bCs/>
                <w:color w:val="auto"/>
              </w:rPr>
              <w:t>Date:</w:t>
            </w:r>
            <w:r w:rsidR="003D7A19" w:rsidRPr="3CAA449D">
              <w:rPr>
                <w:rFonts w:cs="Arial"/>
                <w:b/>
                <w:bCs/>
                <w:color w:val="auto"/>
              </w:rPr>
              <w:t xml:space="preserve"> </w:t>
            </w:r>
            <w:r w:rsidR="7446CBD0" w:rsidRPr="3CAA449D">
              <w:rPr>
                <w:rFonts w:cs="Arial"/>
                <w:b/>
                <w:bCs/>
                <w:color w:val="auto"/>
              </w:rPr>
              <w:t>11</w:t>
            </w:r>
            <w:r w:rsidR="00CA5E87" w:rsidRPr="3CAA449D">
              <w:rPr>
                <w:rFonts w:cs="Arial"/>
                <w:b/>
                <w:bCs/>
              </w:rPr>
              <w:t>/</w:t>
            </w:r>
            <w:r w:rsidR="2FC3E456" w:rsidRPr="3CAA449D">
              <w:rPr>
                <w:rFonts w:cs="Arial"/>
                <w:b/>
                <w:bCs/>
              </w:rPr>
              <w:t>11</w:t>
            </w:r>
            <w:r w:rsidR="003D7A19" w:rsidRPr="3CAA449D">
              <w:rPr>
                <w:rFonts w:cs="Arial"/>
                <w:b/>
                <w:bCs/>
              </w:rPr>
              <w:t>/2025</w:t>
            </w:r>
          </w:p>
        </w:tc>
      </w:tr>
      <w:tr w:rsidR="007967CA" w:rsidRPr="003E4C33" w14:paraId="2C18B277" w14:textId="77777777" w:rsidTr="3CAA449D">
        <w:tc>
          <w:tcPr>
            <w:tcW w:w="1883" w:type="dxa"/>
          </w:tcPr>
          <w:p w14:paraId="4EB49136" w14:textId="6AAF52DF" w:rsidR="007967CA" w:rsidRPr="009D3D0B" w:rsidRDefault="007967CA" w:rsidP="00C076B9">
            <w:pPr>
              <w:pStyle w:val="Bulletpoints"/>
              <w:numPr>
                <w:ilvl w:val="0"/>
                <w:numId w:val="0"/>
              </w:numPr>
              <w:rPr>
                <w:rFonts w:cs="Arial"/>
                <w:b/>
              </w:rPr>
            </w:pPr>
            <w:r w:rsidRPr="009D3D0B">
              <w:rPr>
                <w:rFonts w:cs="Arial"/>
                <w:b/>
              </w:rPr>
              <w:t xml:space="preserve">Member declared interests </w:t>
            </w:r>
          </w:p>
        </w:tc>
        <w:tc>
          <w:tcPr>
            <w:tcW w:w="4379" w:type="dxa"/>
          </w:tcPr>
          <w:p w14:paraId="0033AA4D" w14:textId="7C063C60" w:rsidR="007967CA" w:rsidRPr="009D3D0B" w:rsidRDefault="003D7A19" w:rsidP="00372A82">
            <w:pPr>
              <w:pStyle w:val="bParagraphtext"/>
              <w:numPr>
                <w:ilvl w:val="0"/>
                <w:numId w:val="0"/>
              </w:numPr>
              <w:rPr>
                <w:rFonts w:cs="Arial"/>
                <w:color w:val="auto"/>
              </w:rPr>
            </w:pPr>
            <w:r>
              <w:rPr>
                <w:rFonts w:cs="Arial"/>
                <w:color w:val="auto"/>
              </w:rPr>
              <w:t>None.</w:t>
            </w:r>
          </w:p>
        </w:tc>
        <w:tc>
          <w:tcPr>
            <w:tcW w:w="3026" w:type="dxa"/>
          </w:tcPr>
          <w:p w14:paraId="7424BC62" w14:textId="296BD175" w:rsidR="007967CA" w:rsidRPr="009D3D0B" w:rsidRDefault="007967CA" w:rsidP="007967CA">
            <w:pPr>
              <w:pStyle w:val="Bulletpoints"/>
              <w:numPr>
                <w:ilvl w:val="0"/>
                <w:numId w:val="0"/>
              </w:numPr>
              <w:rPr>
                <w:rFonts w:cs="Arial"/>
                <w:b/>
                <w:color w:val="auto"/>
              </w:rPr>
            </w:pPr>
            <w:r w:rsidRPr="009D3D0B">
              <w:rPr>
                <w:rFonts w:cs="Arial"/>
                <w:b/>
                <w:color w:val="auto"/>
              </w:rPr>
              <w:t>Completed by:</w:t>
            </w:r>
            <w:r w:rsidR="003D7A19">
              <w:rPr>
                <w:rFonts w:cs="Arial"/>
                <w:b/>
                <w:color w:val="auto"/>
              </w:rPr>
              <w:t xml:space="preserve"> Linda Smith</w:t>
            </w:r>
          </w:p>
          <w:p w14:paraId="5918EBBE" w14:textId="1A8F4A9F" w:rsidR="007967CA" w:rsidRPr="009D3D0B" w:rsidRDefault="03EA7A82" w:rsidP="3CAA449D">
            <w:pPr>
              <w:pStyle w:val="Bulletpoints"/>
              <w:numPr>
                <w:ilvl w:val="0"/>
                <w:numId w:val="0"/>
              </w:numPr>
              <w:rPr>
                <w:rFonts w:cs="Arial"/>
                <w:b/>
                <w:bCs/>
                <w:color w:val="auto"/>
              </w:rPr>
            </w:pPr>
            <w:r w:rsidRPr="3CAA449D">
              <w:rPr>
                <w:rFonts w:cs="Arial"/>
                <w:b/>
                <w:bCs/>
                <w:color w:val="auto"/>
              </w:rPr>
              <w:t>Date:</w:t>
            </w:r>
            <w:r w:rsidR="003D7A19" w:rsidRPr="3CAA449D">
              <w:rPr>
                <w:rFonts w:cs="Arial"/>
                <w:b/>
                <w:bCs/>
                <w:color w:val="auto"/>
              </w:rPr>
              <w:t xml:space="preserve"> </w:t>
            </w:r>
            <w:r w:rsidR="00312AE2">
              <w:rPr>
                <w:rFonts w:cs="Arial"/>
                <w:b/>
                <w:bCs/>
                <w:color w:val="auto"/>
              </w:rPr>
              <w:t>11</w:t>
            </w:r>
            <w:r w:rsidR="38DB4DC7" w:rsidRPr="3CAA449D">
              <w:rPr>
                <w:rFonts w:cs="Arial"/>
                <w:b/>
                <w:bCs/>
                <w:color w:val="auto"/>
              </w:rPr>
              <w:t>/</w:t>
            </w:r>
            <w:r w:rsidR="00312AE2">
              <w:rPr>
                <w:rFonts w:cs="Arial"/>
                <w:b/>
                <w:bCs/>
                <w:color w:val="auto"/>
              </w:rPr>
              <w:t>11</w:t>
            </w:r>
            <w:r w:rsidR="38DB4DC7" w:rsidRPr="3CAA449D">
              <w:rPr>
                <w:rFonts w:cs="Arial"/>
                <w:b/>
                <w:bCs/>
                <w:color w:val="auto"/>
              </w:rPr>
              <w:t>/</w:t>
            </w:r>
            <w:r w:rsidR="00312AE2">
              <w:rPr>
                <w:rFonts w:cs="Arial"/>
                <w:b/>
                <w:bCs/>
                <w:color w:val="auto"/>
              </w:rPr>
              <w:t>2025</w:t>
            </w:r>
          </w:p>
        </w:tc>
      </w:tr>
    </w:tbl>
    <w:p w14:paraId="3C4A760D" w14:textId="77777777" w:rsidR="003D7A19" w:rsidRDefault="003D7A19" w:rsidP="002B0329">
      <w:pPr>
        <w:pStyle w:val="bParagraphtext"/>
        <w:numPr>
          <w:ilvl w:val="0"/>
          <w:numId w:val="0"/>
        </w:numPr>
        <w:rPr>
          <w:rFonts w:cs="Arial"/>
        </w:rPr>
      </w:pPr>
    </w:p>
    <w:p w14:paraId="4F2E3444" w14:textId="77777777" w:rsidR="003D7A19" w:rsidRPr="003E4C33" w:rsidRDefault="003D7A19" w:rsidP="002B0329">
      <w:pPr>
        <w:pStyle w:val="bParagraphtext"/>
        <w:numPr>
          <w:ilvl w:val="0"/>
          <w:numId w:val="0"/>
        </w:num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C767F" w:rsidRPr="003E4C33" w14:paraId="07218A10"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521CA4" w14:textId="359272A3" w:rsidR="006C767F" w:rsidRPr="003E4C33" w:rsidRDefault="006C767F" w:rsidP="008B4E15">
            <w:pPr>
              <w:jc w:val="center"/>
              <w:rPr>
                <w:rFonts w:cs="Arial"/>
              </w:rPr>
            </w:pPr>
            <w:r w:rsidRPr="003E4C33">
              <w:rPr>
                <w:rStyle w:val="Firstpagetablebold"/>
                <w:rFonts w:cs="Arial"/>
              </w:rPr>
              <w:lastRenderedPageBreak/>
              <w:t xml:space="preserve">Background Documents </w:t>
            </w:r>
          </w:p>
        </w:tc>
      </w:tr>
      <w:tr w:rsidR="006C767F" w:rsidRPr="003E4C33" w14:paraId="269EBDEB" w14:textId="77777777" w:rsidTr="6705CB2F">
        <w:tc>
          <w:tcPr>
            <w:tcW w:w="88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D4D9ED" w14:textId="77777777" w:rsidR="001933FA" w:rsidRDefault="001933FA" w:rsidP="12E744BB">
            <w:pPr>
              <w:rPr>
                <w:rFonts w:eastAsia="Arial" w:cs="Arial"/>
              </w:rPr>
            </w:pPr>
          </w:p>
          <w:p w14:paraId="15BFC1BE" w14:textId="0865E5F3" w:rsidR="001933FA" w:rsidRDefault="001933FA" w:rsidP="12E744BB">
            <w:pPr>
              <w:rPr>
                <w:rFonts w:eastAsia="Arial" w:cs="Arial"/>
              </w:rPr>
            </w:pPr>
            <w:r>
              <w:rPr>
                <w:rFonts w:eastAsia="Arial" w:cs="Arial"/>
              </w:rPr>
              <w:t>Cabinet Report</w:t>
            </w:r>
            <w:r w:rsidR="0035045B">
              <w:rPr>
                <w:rFonts w:eastAsia="Arial" w:cs="Arial"/>
              </w:rPr>
              <w:t xml:space="preserve"> </w:t>
            </w:r>
            <w:r w:rsidR="003D7A19">
              <w:rPr>
                <w:rFonts w:eastAsia="Arial" w:cs="Arial"/>
              </w:rPr>
              <w:t>RRBTR –</w:t>
            </w:r>
            <w:r>
              <w:rPr>
                <w:rFonts w:eastAsia="Arial" w:cs="Arial"/>
              </w:rPr>
              <w:t xml:space="preserve"> April 17</w:t>
            </w:r>
            <w:r w:rsidRPr="001933FA">
              <w:rPr>
                <w:rFonts w:eastAsia="Arial" w:cs="Arial"/>
                <w:vertAlign w:val="superscript"/>
              </w:rPr>
              <w:t>th</w:t>
            </w:r>
            <w:proofErr w:type="gramStart"/>
            <w:r>
              <w:rPr>
                <w:rFonts w:eastAsia="Arial" w:cs="Arial"/>
              </w:rPr>
              <w:t xml:space="preserve"> 2024</w:t>
            </w:r>
            <w:proofErr w:type="gramEnd"/>
            <w:r>
              <w:rPr>
                <w:rFonts w:eastAsia="Arial" w:cs="Arial"/>
              </w:rPr>
              <w:t>.</w:t>
            </w:r>
          </w:p>
          <w:p w14:paraId="38D3CEBE" w14:textId="77777777" w:rsidR="001933FA" w:rsidRDefault="001933FA" w:rsidP="12E744BB">
            <w:pPr>
              <w:rPr>
                <w:rFonts w:eastAsia="Arial" w:cs="Arial"/>
              </w:rPr>
            </w:pPr>
          </w:p>
          <w:p w14:paraId="3A4DCD0E" w14:textId="77777777" w:rsidR="001933FA" w:rsidRDefault="001933FA" w:rsidP="003D7A19">
            <w:pPr>
              <w:rPr>
                <w:rStyle w:val="Hyperlink"/>
              </w:rPr>
            </w:pPr>
            <w:hyperlink r:id="rId11" w:history="1">
              <w:r>
                <w:rPr>
                  <w:rStyle w:val="Hyperlink"/>
                </w:rPr>
                <w:t>Use of Retained Right to Buy Receipts to increase the provision of more affordable housing.pdf</w:t>
              </w:r>
            </w:hyperlink>
          </w:p>
          <w:p w14:paraId="78FD4075" w14:textId="3A980313" w:rsidR="003D7A19" w:rsidRPr="003D7A19" w:rsidRDefault="003D7A19" w:rsidP="003D7A19">
            <w:pPr>
              <w:rPr>
                <w:color w:val="0000FF"/>
                <w:u w:val="single"/>
              </w:rPr>
            </w:pPr>
          </w:p>
        </w:tc>
      </w:tr>
    </w:tbl>
    <w:p w14:paraId="0D36453B" w14:textId="1874FC0C" w:rsidR="00FB3B71" w:rsidRPr="003E4C33" w:rsidRDefault="00FB3B71" w:rsidP="0033565F">
      <w:pPr>
        <w:pStyle w:val="bParagraphtext"/>
        <w:numPr>
          <w:ilvl w:val="0"/>
          <w:numId w:val="0"/>
        </w:numPr>
        <w:ind w:left="426"/>
        <w:rPr>
          <w:rFonts w:cs="Arial"/>
          <w:b/>
          <w:bCs/>
        </w:rPr>
      </w:pPr>
    </w:p>
    <w:tbl>
      <w:tblPr>
        <w:tblW w:w="0" w:type="auto"/>
        <w:tblInd w:w="108" w:type="dxa"/>
        <w:tblBorders>
          <w:top w:val="single" w:sz="4" w:space="0" w:color="C0504D"/>
          <w:left w:val="single" w:sz="4" w:space="0" w:color="C0504D"/>
          <w:bottom w:val="single" w:sz="4" w:space="0" w:color="C0504D"/>
          <w:right w:val="single" w:sz="4" w:space="0" w:color="C0504D"/>
        </w:tblBorders>
        <w:tblLook w:val="04A0" w:firstRow="1" w:lastRow="0" w:firstColumn="1" w:lastColumn="0" w:noHBand="0" w:noVBand="1"/>
      </w:tblPr>
      <w:tblGrid>
        <w:gridCol w:w="3969"/>
        <w:gridCol w:w="4962"/>
      </w:tblGrid>
      <w:tr w:rsidR="00DF093E" w:rsidRPr="003E4C33" w14:paraId="1F687E48" w14:textId="77777777" w:rsidTr="00A46E98">
        <w:trPr>
          <w:cantSplit/>
          <w:trHeight w:val="396"/>
        </w:trPr>
        <w:tc>
          <w:tcPr>
            <w:tcW w:w="3969" w:type="dxa"/>
            <w:tcBorders>
              <w:top w:val="single" w:sz="8" w:space="0" w:color="000000"/>
              <w:left w:val="single" w:sz="8" w:space="0" w:color="000000"/>
              <w:bottom w:val="single" w:sz="8" w:space="0" w:color="000000"/>
              <w:right w:val="nil"/>
            </w:tcBorders>
          </w:tcPr>
          <w:p w14:paraId="760A9FCD" w14:textId="77777777" w:rsidR="00E87F7A" w:rsidRPr="003E4C33" w:rsidRDefault="00E87F7A" w:rsidP="00A46E98">
            <w:pPr>
              <w:rPr>
                <w:rFonts w:cs="Arial"/>
                <w:b/>
              </w:rPr>
            </w:pPr>
            <w:r w:rsidRPr="003E4C33">
              <w:rPr>
                <w:rFonts w:cs="Arial"/>
                <w:b/>
              </w:rPr>
              <w:t>Report author</w:t>
            </w:r>
          </w:p>
        </w:tc>
        <w:tc>
          <w:tcPr>
            <w:tcW w:w="4962" w:type="dxa"/>
            <w:tcBorders>
              <w:top w:val="single" w:sz="8" w:space="0" w:color="000000"/>
              <w:left w:val="nil"/>
              <w:bottom w:val="single" w:sz="8" w:space="0" w:color="000000"/>
              <w:right w:val="single" w:sz="8" w:space="0" w:color="000000"/>
            </w:tcBorders>
          </w:tcPr>
          <w:p w14:paraId="10A18498" w14:textId="6CDAD734" w:rsidR="00E87F7A" w:rsidRPr="003E4C33" w:rsidRDefault="00A15F71" w:rsidP="00A46E98">
            <w:pPr>
              <w:rPr>
                <w:rFonts w:cs="Arial"/>
              </w:rPr>
            </w:pPr>
            <w:r>
              <w:rPr>
                <w:rFonts w:cs="Arial"/>
              </w:rPr>
              <w:t>Andy Dorrington</w:t>
            </w:r>
          </w:p>
        </w:tc>
      </w:tr>
      <w:tr w:rsidR="00DF093E" w:rsidRPr="003E4C33" w14:paraId="4C699F40" w14:textId="77777777" w:rsidTr="00A46E98">
        <w:trPr>
          <w:cantSplit/>
          <w:trHeight w:val="396"/>
        </w:trPr>
        <w:tc>
          <w:tcPr>
            <w:tcW w:w="3969" w:type="dxa"/>
            <w:tcBorders>
              <w:top w:val="single" w:sz="8" w:space="0" w:color="000000"/>
              <w:left w:val="single" w:sz="8" w:space="0" w:color="000000"/>
              <w:bottom w:val="nil"/>
              <w:right w:val="nil"/>
            </w:tcBorders>
          </w:tcPr>
          <w:p w14:paraId="06C15971" w14:textId="77777777" w:rsidR="00E87F7A" w:rsidRPr="003E4C33" w:rsidRDefault="00E87F7A" w:rsidP="00A46E98">
            <w:pPr>
              <w:rPr>
                <w:rFonts w:cs="Arial"/>
              </w:rPr>
            </w:pPr>
            <w:r w:rsidRPr="003E4C33">
              <w:rPr>
                <w:rFonts w:cs="Arial"/>
              </w:rPr>
              <w:t>Job title</w:t>
            </w:r>
          </w:p>
        </w:tc>
        <w:tc>
          <w:tcPr>
            <w:tcW w:w="4962" w:type="dxa"/>
            <w:tcBorders>
              <w:top w:val="single" w:sz="8" w:space="0" w:color="000000"/>
              <w:left w:val="nil"/>
              <w:bottom w:val="nil"/>
              <w:right w:val="single" w:sz="8" w:space="0" w:color="000000"/>
            </w:tcBorders>
          </w:tcPr>
          <w:p w14:paraId="4290E9E4" w14:textId="3BFC0C6D" w:rsidR="00E87F7A" w:rsidRPr="00C55247" w:rsidRDefault="005D71B7" w:rsidP="00A46E98">
            <w:pPr>
              <w:rPr>
                <w:rFonts w:cs="Arial"/>
                <w:color w:val="auto"/>
              </w:rPr>
            </w:pPr>
            <w:r>
              <w:rPr>
                <w:rFonts w:cs="Arial"/>
                <w:color w:val="auto"/>
              </w:rPr>
              <w:t>Affordable Housing Development Officer</w:t>
            </w:r>
          </w:p>
        </w:tc>
      </w:tr>
      <w:tr w:rsidR="00DF093E" w:rsidRPr="003E4C33" w14:paraId="724C97C1" w14:textId="77777777" w:rsidTr="00A46E98">
        <w:trPr>
          <w:cantSplit/>
          <w:trHeight w:val="396"/>
        </w:trPr>
        <w:tc>
          <w:tcPr>
            <w:tcW w:w="3969" w:type="dxa"/>
            <w:tcBorders>
              <w:top w:val="nil"/>
              <w:left w:val="single" w:sz="8" w:space="0" w:color="000000"/>
              <w:bottom w:val="nil"/>
              <w:right w:val="nil"/>
            </w:tcBorders>
          </w:tcPr>
          <w:p w14:paraId="0B0F48C6" w14:textId="77777777" w:rsidR="00E87F7A" w:rsidRPr="003E4C33" w:rsidRDefault="00E87F7A" w:rsidP="00A46E98">
            <w:pPr>
              <w:rPr>
                <w:rFonts w:cs="Arial"/>
              </w:rPr>
            </w:pPr>
            <w:r w:rsidRPr="003E4C33">
              <w:rPr>
                <w:rFonts w:cs="Arial"/>
              </w:rPr>
              <w:t>Service area or department</w:t>
            </w:r>
          </w:p>
        </w:tc>
        <w:tc>
          <w:tcPr>
            <w:tcW w:w="4962" w:type="dxa"/>
            <w:tcBorders>
              <w:top w:val="nil"/>
              <w:left w:val="nil"/>
              <w:bottom w:val="nil"/>
              <w:right w:val="single" w:sz="8" w:space="0" w:color="000000"/>
            </w:tcBorders>
          </w:tcPr>
          <w:p w14:paraId="64678455" w14:textId="55B57BE5" w:rsidR="00E87F7A" w:rsidRPr="00C55247" w:rsidRDefault="005D71B7" w:rsidP="00A46E98">
            <w:pPr>
              <w:rPr>
                <w:rFonts w:cs="Arial"/>
                <w:color w:val="auto"/>
              </w:rPr>
            </w:pPr>
            <w:r>
              <w:rPr>
                <w:rFonts w:cs="Arial"/>
                <w:color w:val="auto"/>
              </w:rPr>
              <w:t>Affordable Housing Supply – Regeneration and Economy</w:t>
            </w:r>
          </w:p>
        </w:tc>
      </w:tr>
      <w:tr w:rsidR="005570B5" w:rsidRPr="003E4C33" w14:paraId="1192348E" w14:textId="77777777" w:rsidTr="008A34D3">
        <w:trPr>
          <w:cantSplit/>
          <w:trHeight w:val="60"/>
        </w:trPr>
        <w:tc>
          <w:tcPr>
            <w:tcW w:w="3969" w:type="dxa"/>
            <w:tcBorders>
              <w:top w:val="nil"/>
              <w:left w:val="single" w:sz="8" w:space="0" w:color="000000"/>
              <w:bottom w:val="single" w:sz="8" w:space="0" w:color="000000"/>
              <w:right w:val="nil"/>
            </w:tcBorders>
          </w:tcPr>
          <w:p w14:paraId="7F66B002" w14:textId="7006D39A" w:rsidR="00E87F7A" w:rsidRPr="003E4C33" w:rsidRDefault="00005CE3" w:rsidP="00A46E98">
            <w:pPr>
              <w:rPr>
                <w:rFonts w:cs="Arial"/>
              </w:rPr>
            </w:pPr>
            <w:r w:rsidRPr="003E4C33">
              <w:rPr>
                <w:rFonts w:cs="Arial"/>
              </w:rPr>
              <w:t xml:space="preserve">Email contact </w:t>
            </w:r>
          </w:p>
        </w:tc>
        <w:tc>
          <w:tcPr>
            <w:tcW w:w="4962" w:type="dxa"/>
            <w:tcBorders>
              <w:top w:val="nil"/>
              <w:left w:val="nil"/>
              <w:bottom w:val="single" w:sz="8" w:space="0" w:color="000000"/>
              <w:right w:val="single" w:sz="8" w:space="0" w:color="000000"/>
            </w:tcBorders>
          </w:tcPr>
          <w:p w14:paraId="217B4852" w14:textId="7EE473A7" w:rsidR="00E87F7A" w:rsidRPr="00C55247" w:rsidRDefault="005D71B7" w:rsidP="00A46E98">
            <w:pPr>
              <w:rPr>
                <w:rStyle w:val="Hyperlink"/>
                <w:rFonts w:cs="Arial"/>
                <w:color w:val="auto"/>
              </w:rPr>
            </w:pPr>
            <w:hyperlink r:id="rId12" w:history="1">
              <w:r w:rsidRPr="00C7076B">
                <w:rPr>
                  <w:rStyle w:val="Hyperlink"/>
                  <w:rFonts w:cs="Arial"/>
                </w:rPr>
                <w:t>a</w:t>
              </w:r>
              <w:r w:rsidRPr="00C7076B">
                <w:rPr>
                  <w:rStyle w:val="Hyperlink"/>
                </w:rPr>
                <w:t>dorrington@oxford.gov.uk</w:t>
              </w:r>
            </w:hyperlink>
            <w:r>
              <w:rPr>
                <w:rStyle w:val="Hyperlink"/>
              </w:rPr>
              <w:t xml:space="preserve"> </w:t>
            </w:r>
          </w:p>
        </w:tc>
      </w:tr>
    </w:tbl>
    <w:p w14:paraId="30F6D8FE" w14:textId="77777777" w:rsidR="00433B96" w:rsidRPr="003E4C33" w:rsidRDefault="00433B96" w:rsidP="004A6D2F">
      <w:pPr>
        <w:rPr>
          <w:rFonts w:cs="Arial"/>
        </w:rPr>
      </w:pPr>
    </w:p>
    <w:p w14:paraId="4A373021" w14:textId="67E244B4" w:rsidR="001A1BA1" w:rsidRPr="003E4C33" w:rsidRDefault="001A1BA1" w:rsidP="0BC4DFF5">
      <w:pPr>
        <w:rPr>
          <w:rFonts w:cs="Arial"/>
          <w:b/>
          <w:bCs/>
        </w:rPr>
      </w:pPr>
      <w:r w:rsidRPr="003E4C33">
        <w:rPr>
          <w:rFonts w:cs="Arial"/>
          <w:b/>
          <w:bCs/>
        </w:rPr>
        <w:t>Consultee checklist</w:t>
      </w:r>
      <w:r w:rsidR="00C059B9">
        <w:rPr>
          <w:rFonts w:cs="Arial"/>
          <w:b/>
          <w:bCs/>
        </w:rPr>
        <w:t xml:space="preserve"> </w:t>
      </w:r>
    </w:p>
    <w:tbl>
      <w:tblPr>
        <w:tblStyle w:val="TableGrid1"/>
        <w:tblW w:w="9072" w:type="dxa"/>
        <w:tblInd w:w="-5" w:type="dxa"/>
        <w:tblLook w:val="04A0" w:firstRow="1" w:lastRow="0" w:firstColumn="1" w:lastColumn="0" w:noHBand="0" w:noVBand="1"/>
      </w:tblPr>
      <w:tblGrid>
        <w:gridCol w:w="3119"/>
        <w:gridCol w:w="4065"/>
        <w:gridCol w:w="1888"/>
      </w:tblGrid>
      <w:tr w:rsidR="001A1BA1" w:rsidRPr="003E4C33" w14:paraId="55292CC4" w14:textId="77777777" w:rsidTr="3CAA449D">
        <w:trPr>
          <w:trHeight w:val="516"/>
        </w:trPr>
        <w:tc>
          <w:tcPr>
            <w:tcW w:w="3119" w:type="dxa"/>
          </w:tcPr>
          <w:p w14:paraId="423E2C51" w14:textId="77777777" w:rsidR="001A1BA1" w:rsidRPr="003E4C33" w:rsidRDefault="001A1BA1" w:rsidP="000772EB">
            <w:pPr>
              <w:spacing w:before="120"/>
              <w:rPr>
                <w:b/>
                <w:i/>
              </w:rPr>
            </w:pPr>
            <w:r w:rsidRPr="003E4C33">
              <w:rPr>
                <w:b/>
                <w:i/>
              </w:rPr>
              <w:t>Consultees</w:t>
            </w:r>
          </w:p>
        </w:tc>
        <w:tc>
          <w:tcPr>
            <w:tcW w:w="4065" w:type="dxa"/>
            <w:vAlign w:val="center"/>
          </w:tcPr>
          <w:p w14:paraId="66370075" w14:textId="77777777" w:rsidR="001A1BA1" w:rsidRPr="003E4C33" w:rsidRDefault="001A1BA1" w:rsidP="000772EB">
            <w:pPr>
              <w:rPr>
                <w:b/>
                <w:i/>
              </w:rPr>
            </w:pPr>
            <w:r w:rsidRPr="003E4C33">
              <w:rPr>
                <w:b/>
                <w:i/>
              </w:rPr>
              <w:t>Name and job title</w:t>
            </w:r>
          </w:p>
        </w:tc>
        <w:tc>
          <w:tcPr>
            <w:tcW w:w="1888" w:type="dxa"/>
            <w:vAlign w:val="center"/>
          </w:tcPr>
          <w:p w14:paraId="67196AF5" w14:textId="77777777" w:rsidR="001A1BA1" w:rsidRPr="003E4C33" w:rsidRDefault="001A1BA1" w:rsidP="000772EB">
            <w:pPr>
              <w:rPr>
                <w:b/>
                <w:i/>
              </w:rPr>
            </w:pPr>
            <w:r w:rsidRPr="003E4C33">
              <w:rPr>
                <w:b/>
                <w:i/>
              </w:rPr>
              <w:t xml:space="preserve">Date </w:t>
            </w:r>
          </w:p>
        </w:tc>
      </w:tr>
      <w:tr w:rsidR="001A1BA1" w:rsidRPr="003E4C33" w14:paraId="5F3F749A" w14:textId="77777777" w:rsidTr="3CAA449D">
        <w:trPr>
          <w:trHeight w:val="516"/>
        </w:trPr>
        <w:tc>
          <w:tcPr>
            <w:tcW w:w="3119" w:type="dxa"/>
            <w:vAlign w:val="center"/>
          </w:tcPr>
          <w:p w14:paraId="27A74D65" w14:textId="77777777" w:rsidR="001A1BA1" w:rsidRPr="003E4C33" w:rsidRDefault="001A1BA1" w:rsidP="000772EB">
            <w:pPr>
              <w:spacing w:before="120"/>
              <w:rPr>
                <w:b/>
              </w:rPr>
            </w:pPr>
            <w:r w:rsidRPr="003E4C33">
              <w:rPr>
                <w:b/>
              </w:rPr>
              <w:t>Senior officer</w:t>
            </w:r>
          </w:p>
          <w:p w14:paraId="5850EEA3" w14:textId="6D1B9BFF" w:rsidR="001A1BA1" w:rsidRPr="003E4C33" w:rsidRDefault="001A1BA1" w:rsidP="000772EB">
            <w:pPr>
              <w:spacing w:before="120"/>
            </w:pPr>
            <w:r>
              <w:t xml:space="preserve">e.g. the relevant service manager / </w:t>
            </w:r>
            <w:r w:rsidR="709410E8">
              <w:t>H</w:t>
            </w:r>
            <w:r>
              <w:t xml:space="preserve">ead of </w:t>
            </w:r>
            <w:r w:rsidR="70CE5F5A">
              <w:t>S</w:t>
            </w:r>
            <w:r>
              <w:t>ervice where the decision maker is the Chief Executive or an Executive Director.</w:t>
            </w:r>
          </w:p>
        </w:tc>
        <w:tc>
          <w:tcPr>
            <w:tcW w:w="4065" w:type="dxa"/>
            <w:vAlign w:val="center"/>
          </w:tcPr>
          <w:p w14:paraId="33DFBFFA" w14:textId="33CC405D" w:rsidR="001A1BA1" w:rsidRPr="00C55247" w:rsidRDefault="0035045B" w:rsidP="000772EB">
            <w:pPr>
              <w:rPr>
                <w:color w:val="A6A6A6" w:themeColor="background1" w:themeShade="A6"/>
              </w:rPr>
            </w:pPr>
            <w:r>
              <w:t>Dave Scholes</w:t>
            </w:r>
            <w:r w:rsidRPr="0035045B">
              <w:t>, Affordable Housing Supply Corporate Lead</w:t>
            </w:r>
            <w:r w:rsidRPr="0035045B">
              <w:rPr>
                <w:b/>
                <w:bCs/>
              </w:rPr>
              <w:t> </w:t>
            </w:r>
          </w:p>
        </w:tc>
        <w:tc>
          <w:tcPr>
            <w:tcW w:w="1888" w:type="dxa"/>
            <w:vAlign w:val="center"/>
          </w:tcPr>
          <w:p w14:paraId="29D4AEB7" w14:textId="071A7C78" w:rsidR="001A1BA1" w:rsidRPr="003E4C33" w:rsidRDefault="735E13E5" w:rsidP="000772EB">
            <w:r>
              <w:t>11</w:t>
            </w:r>
            <w:r w:rsidR="00CA5E87">
              <w:t>/</w:t>
            </w:r>
            <w:r w:rsidR="2D3CAA36">
              <w:t>11</w:t>
            </w:r>
            <w:r w:rsidR="040F6829">
              <w:t>/2025</w:t>
            </w:r>
          </w:p>
        </w:tc>
      </w:tr>
      <w:tr w:rsidR="001A1BA1" w:rsidRPr="003E4C33" w14:paraId="5B08396D" w14:textId="77777777" w:rsidTr="3CAA449D">
        <w:trPr>
          <w:trHeight w:val="1161"/>
        </w:trPr>
        <w:tc>
          <w:tcPr>
            <w:tcW w:w="3119" w:type="dxa"/>
          </w:tcPr>
          <w:p w14:paraId="206914C9" w14:textId="77777777" w:rsidR="001A1BA1" w:rsidRPr="003E4C33" w:rsidRDefault="001A1BA1" w:rsidP="000772EB">
            <w:pPr>
              <w:spacing w:before="120"/>
              <w:rPr>
                <w:b/>
              </w:rPr>
            </w:pPr>
            <w:r w:rsidRPr="003E4C33">
              <w:rPr>
                <w:b/>
              </w:rPr>
              <w:t>Head of Financial Services</w:t>
            </w:r>
          </w:p>
          <w:p w14:paraId="7A4F1884" w14:textId="76E91C55" w:rsidR="001A1BA1" w:rsidRPr="003E4C33" w:rsidRDefault="42DDDBA8" w:rsidP="000772EB">
            <w:pPr>
              <w:spacing w:before="120"/>
            </w:pPr>
            <w:r w:rsidRPr="003E4C33">
              <w:t>Where required</w:t>
            </w:r>
            <w:r w:rsidR="0AFF6EB2" w:rsidRPr="003E4C33">
              <w:t xml:space="preserve"> by the Constitution or conditions of the delegation</w:t>
            </w:r>
          </w:p>
        </w:tc>
        <w:tc>
          <w:tcPr>
            <w:tcW w:w="4065" w:type="dxa"/>
            <w:vAlign w:val="center"/>
          </w:tcPr>
          <w:p w14:paraId="476C7451" w14:textId="29BDB24C" w:rsidR="001A1BA1" w:rsidRPr="003E4C33" w:rsidRDefault="005D71B7" w:rsidP="000772EB">
            <w:r>
              <w:t>Nigel Kennedy, Group Finance Director.</w:t>
            </w:r>
          </w:p>
        </w:tc>
        <w:tc>
          <w:tcPr>
            <w:tcW w:w="1888" w:type="dxa"/>
            <w:vAlign w:val="center"/>
          </w:tcPr>
          <w:p w14:paraId="26B724B7" w14:textId="4868901F" w:rsidR="001A1BA1" w:rsidRPr="003E4C33" w:rsidRDefault="00312AE2" w:rsidP="000772EB">
            <w:r>
              <w:t>11</w:t>
            </w:r>
            <w:r w:rsidR="00CA5E87">
              <w:t>/</w:t>
            </w:r>
            <w:r>
              <w:t>11</w:t>
            </w:r>
            <w:r w:rsidR="7C3094E0">
              <w:t>/</w:t>
            </w:r>
            <w:r>
              <w:t>2025</w:t>
            </w:r>
          </w:p>
        </w:tc>
      </w:tr>
      <w:tr w:rsidR="001A1BA1" w:rsidRPr="003E4C33" w14:paraId="54CB0EFE" w14:textId="77777777" w:rsidTr="3CAA449D">
        <w:trPr>
          <w:trHeight w:val="834"/>
        </w:trPr>
        <w:tc>
          <w:tcPr>
            <w:tcW w:w="3119" w:type="dxa"/>
          </w:tcPr>
          <w:p w14:paraId="658FE63C" w14:textId="77777777" w:rsidR="001A1BA1" w:rsidRPr="003E4C33" w:rsidRDefault="001A1BA1" w:rsidP="000772EB">
            <w:pPr>
              <w:spacing w:before="120"/>
              <w:rPr>
                <w:b/>
              </w:rPr>
            </w:pPr>
            <w:r w:rsidRPr="003E4C33">
              <w:rPr>
                <w:b/>
              </w:rPr>
              <w:t xml:space="preserve">Head of Law and Governance </w:t>
            </w:r>
          </w:p>
          <w:p w14:paraId="5C806B41" w14:textId="50B1676F" w:rsidR="001A1BA1" w:rsidRPr="003E4C33" w:rsidRDefault="42DDDBA8" w:rsidP="000772EB">
            <w:pPr>
              <w:spacing w:before="120"/>
            </w:pPr>
            <w:r w:rsidRPr="003E4C33">
              <w:t>Where required</w:t>
            </w:r>
            <w:r w:rsidR="00B6369C" w:rsidRPr="003E4C33">
              <w:t xml:space="preserve"> by the Constitution or conditions of the delegation</w:t>
            </w:r>
          </w:p>
        </w:tc>
        <w:tc>
          <w:tcPr>
            <w:tcW w:w="4065" w:type="dxa"/>
            <w:vAlign w:val="center"/>
          </w:tcPr>
          <w:p w14:paraId="382AF424" w14:textId="77777777" w:rsidR="00312AE2" w:rsidRPr="00312AE2" w:rsidRDefault="00312AE2" w:rsidP="00312AE2">
            <w:pPr>
              <w:shd w:val="clear" w:color="auto" w:fill="FFFFFF" w:themeFill="background1"/>
              <w:spacing w:after="0"/>
            </w:pPr>
            <w:r w:rsidRPr="00312AE2">
              <w:t>Emma Jackman</w:t>
            </w:r>
          </w:p>
          <w:p w14:paraId="62E4E28A" w14:textId="77777777" w:rsidR="00312AE2" w:rsidRPr="00312AE2" w:rsidRDefault="00312AE2" w:rsidP="00312AE2">
            <w:pPr>
              <w:shd w:val="clear" w:color="auto" w:fill="FFFFFF" w:themeFill="background1"/>
              <w:spacing w:after="0"/>
            </w:pPr>
            <w:r w:rsidRPr="00312AE2">
              <w:t>Director of Law, Governance &amp; Strategy (Monitoring Officer)</w:t>
            </w:r>
          </w:p>
          <w:p w14:paraId="459F8630" w14:textId="79EC9ED3" w:rsidR="001A1BA1" w:rsidRPr="003E4C33" w:rsidRDefault="001A1BA1" w:rsidP="00312AE2">
            <w:pPr>
              <w:shd w:val="clear" w:color="auto" w:fill="FFFFFF" w:themeFill="background1"/>
              <w:spacing w:after="0"/>
            </w:pPr>
          </w:p>
        </w:tc>
        <w:tc>
          <w:tcPr>
            <w:tcW w:w="1888" w:type="dxa"/>
          </w:tcPr>
          <w:p w14:paraId="02EE4AB5" w14:textId="77777777" w:rsidR="001A1BA1" w:rsidRDefault="001A1BA1" w:rsidP="000772EB"/>
          <w:p w14:paraId="6ECFAAA9" w14:textId="77777777" w:rsidR="005D71B7" w:rsidRDefault="005D71B7" w:rsidP="000772EB"/>
          <w:p w14:paraId="13EBB6A8" w14:textId="490C0804" w:rsidR="005D71B7" w:rsidRPr="003E4C33" w:rsidRDefault="00312AE2" w:rsidP="3CAA449D">
            <w:pPr>
              <w:rPr>
                <w:rStyle w:val="Firstpagetablebold"/>
                <w:b w:val="0"/>
              </w:rPr>
            </w:pPr>
            <w:r>
              <w:rPr>
                <w:rStyle w:val="Firstpagetablebold"/>
                <w:b w:val="0"/>
              </w:rPr>
              <w:t>11</w:t>
            </w:r>
            <w:r w:rsidR="00CA5E87" w:rsidRPr="3CAA449D">
              <w:rPr>
                <w:rStyle w:val="Firstpagetablebold"/>
                <w:b w:val="0"/>
              </w:rPr>
              <w:t>/</w:t>
            </w:r>
            <w:r>
              <w:rPr>
                <w:rStyle w:val="Firstpagetablebold"/>
                <w:b w:val="0"/>
              </w:rPr>
              <w:t>11</w:t>
            </w:r>
            <w:r w:rsidR="456A5788" w:rsidRPr="3CAA449D">
              <w:rPr>
                <w:rStyle w:val="Firstpagetablebold"/>
                <w:b w:val="0"/>
              </w:rPr>
              <w:t>/</w:t>
            </w:r>
            <w:r>
              <w:rPr>
                <w:rStyle w:val="Firstpagetablebold"/>
                <w:b w:val="0"/>
              </w:rPr>
              <w:t>2025</w:t>
            </w:r>
          </w:p>
        </w:tc>
      </w:tr>
      <w:tr w:rsidR="001A1BA1" w:rsidRPr="003E4C33" w14:paraId="266E8AC6" w14:textId="77777777" w:rsidTr="3CAA449D">
        <w:trPr>
          <w:trHeight w:val="562"/>
        </w:trPr>
        <w:tc>
          <w:tcPr>
            <w:tcW w:w="3119" w:type="dxa"/>
            <w:vAlign w:val="center"/>
          </w:tcPr>
          <w:p w14:paraId="0D0AF673" w14:textId="77777777" w:rsidR="001A1BA1" w:rsidRPr="003E4C33" w:rsidRDefault="001A1BA1" w:rsidP="000772EB">
            <w:pPr>
              <w:spacing w:before="120"/>
              <w:rPr>
                <w:b/>
              </w:rPr>
            </w:pPr>
            <w:r w:rsidRPr="003E4C33">
              <w:rPr>
                <w:b/>
              </w:rPr>
              <w:t>Cabinet Member(s)</w:t>
            </w:r>
          </w:p>
          <w:p w14:paraId="789D5AE3" w14:textId="4A107205" w:rsidR="001A1BA1" w:rsidRPr="003E4C33" w:rsidRDefault="42DDDBA8" w:rsidP="008A34D3">
            <w:pPr>
              <w:spacing w:before="120"/>
            </w:pPr>
            <w:r w:rsidRPr="003E4C33">
              <w:t xml:space="preserve">Where required </w:t>
            </w:r>
            <w:r w:rsidR="18A47893" w:rsidRPr="003E4C33">
              <w:t>by the conditions of the delegation</w:t>
            </w:r>
          </w:p>
        </w:tc>
        <w:tc>
          <w:tcPr>
            <w:tcW w:w="4065" w:type="dxa"/>
            <w:vAlign w:val="center"/>
          </w:tcPr>
          <w:p w14:paraId="47B4B0BF" w14:textId="6AEA1D8D" w:rsidR="001A1BA1" w:rsidRPr="003E4C33" w:rsidRDefault="005D71B7" w:rsidP="000772EB">
            <w:r>
              <w:t>Linda Smith, Cabinet Member for Housing.</w:t>
            </w:r>
          </w:p>
        </w:tc>
        <w:tc>
          <w:tcPr>
            <w:tcW w:w="1888" w:type="dxa"/>
            <w:vAlign w:val="center"/>
          </w:tcPr>
          <w:p w14:paraId="79ED7A02" w14:textId="226462F3" w:rsidR="001A1BA1" w:rsidRPr="003E4C33" w:rsidRDefault="00312AE2" w:rsidP="3CAA449D">
            <w:pPr>
              <w:rPr>
                <w:rStyle w:val="Firstpagetablebold"/>
                <w:b w:val="0"/>
              </w:rPr>
            </w:pPr>
            <w:r>
              <w:rPr>
                <w:rStyle w:val="Firstpagetablebold"/>
                <w:b w:val="0"/>
              </w:rPr>
              <w:t>11</w:t>
            </w:r>
            <w:r w:rsidR="00CA5E87" w:rsidRPr="3CAA449D">
              <w:rPr>
                <w:rStyle w:val="Firstpagetablebold"/>
                <w:b w:val="0"/>
              </w:rPr>
              <w:t>/</w:t>
            </w:r>
            <w:r>
              <w:rPr>
                <w:rStyle w:val="Firstpagetablebold"/>
                <w:b w:val="0"/>
              </w:rPr>
              <w:t>11</w:t>
            </w:r>
            <w:r w:rsidR="00CA5E87" w:rsidRPr="3CAA449D">
              <w:rPr>
                <w:rStyle w:val="Firstpagetablebold"/>
                <w:b w:val="0"/>
              </w:rPr>
              <w:t>/</w:t>
            </w:r>
            <w:r>
              <w:rPr>
                <w:rStyle w:val="Firstpagetablebold"/>
                <w:b w:val="0"/>
              </w:rPr>
              <w:t>2025</w:t>
            </w:r>
          </w:p>
        </w:tc>
      </w:tr>
      <w:tr w:rsidR="001A1BA1" w:rsidRPr="003E4C33" w14:paraId="789A1406" w14:textId="77777777" w:rsidTr="3CAA449D">
        <w:trPr>
          <w:trHeight w:val="562"/>
        </w:trPr>
        <w:tc>
          <w:tcPr>
            <w:tcW w:w="3119" w:type="dxa"/>
            <w:vAlign w:val="center"/>
          </w:tcPr>
          <w:p w14:paraId="79CEA511" w14:textId="77777777" w:rsidR="001A1BA1" w:rsidRPr="003E4C33" w:rsidRDefault="001A1BA1" w:rsidP="000772EB">
            <w:pPr>
              <w:spacing w:before="120"/>
              <w:rPr>
                <w:b/>
              </w:rPr>
            </w:pPr>
            <w:r w:rsidRPr="003E4C33">
              <w:rPr>
                <w:b/>
              </w:rPr>
              <w:lastRenderedPageBreak/>
              <w:t>Ward Members</w:t>
            </w:r>
          </w:p>
          <w:p w14:paraId="079F86E6" w14:textId="03792320" w:rsidR="001A1BA1" w:rsidRPr="003E4C33" w:rsidRDefault="42DDDBA8" w:rsidP="000772EB">
            <w:pPr>
              <w:spacing w:before="120"/>
            </w:pPr>
            <w:r w:rsidRPr="003E4C33">
              <w:t>Where required</w:t>
            </w:r>
            <w:r w:rsidR="2187760D" w:rsidRPr="003E4C33">
              <w:t xml:space="preserve"> by the Constitution or conditions of the delegation</w:t>
            </w:r>
          </w:p>
        </w:tc>
        <w:tc>
          <w:tcPr>
            <w:tcW w:w="4065" w:type="dxa"/>
            <w:vAlign w:val="center"/>
          </w:tcPr>
          <w:p w14:paraId="0E06D3A4" w14:textId="51B55E7F" w:rsidR="001A1BA1" w:rsidRPr="003E4C33" w:rsidRDefault="005D71B7" w:rsidP="000772EB">
            <w:r>
              <w:t>N/A</w:t>
            </w:r>
          </w:p>
        </w:tc>
        <w:tc>
          <w:tcPr>
            <w:tcW w:w="1888" w:type="dxa"/>
            <w:vAlign w:val="center"/>
          </w:tcPr>
          <w:p w14:paraId="36F1E2E4" w14:textId="77777777" w:rsidR="001A1BA1" w:rsidRPr="003E4C33" w:rsidRDefault="001A1BA1" w:rsidP="000772EB"/>
        </w:tc>
      </w:tr>
    </w:tbl>
    <w:p w14:paraId="7DAF2BCF" w14:textId="2CC66BA6" w:rsidR="004456DD" w:rsidRPr="003E4C33" w:rsidRDefault="004456DD" w:rsidP="0BC4DFF5">
      <w:pPr>
        <w:rPr>
          <w:rFonts w:cs="Arial"/>
          <w:b/>
          <w:bCs/>
        </w:rPr>
      </w:pPr>
    </w:p>
    <w:p w14:paraId="49FF2A28" w14:textId="58C64575" w:rsidR="004456DD" w:rsidRDefault="2B7BAFE9" w:rsidP="0BC4DFF5">
      <w:pPr>
        <w:rPr>
          <w:rFonts w:cs="Arial"/>
          <w:b/>
          <w:bCs/>
        </w:rPr>
      </w:pPr>
      <w:r w:rsidRPr="003E4C33">
        <w:rPr>
          <w:rFonts w:cs="Arial"/>
          <w:b/>
          <w:bCs/>
        </w:rPr>
        <w:t>Decision Maker Approval</w:t>
      </w:r>
    </w:p>
    <w:p w14:paraId="56EFAC5B" w14:textId="77777777" w:rsidR="00D43FD2" w:rsidRPr="003E4C33" w:rsidRDefault="00D43FD2" w:rsidP="0BC4DFF5">
      <w:pPr>
        <w:rPr>
          <w:rFonts w:cs="Arial"/>
          <w:b/>
          <w:bCs/>
        </w:rPr>
      </w:pPr>
    </w:p>
    <w:tbl>
      <w:tblPr>
        <w:tblStyle w:val="TableGrid1"/>
        <w:tblW w:w="6521" w:type="dxa"/>
        <w:tblInd w:w="137" w:type="dxa"/>
        <w:tblLook w:val="04A0" w:firstRow="1" w:lastRow="0" w:firstColumn="1" w:lastColumn="0" w:noHBand="0" w:noVBand="1"/>
      </w:tblPr>
      <w:tblGrid>
        <w:gridCol w:w="4620"/>
        <w:gridCol w:w="1901"/>
      </w:tblGrid>
      <w:tr w:rsidR="0BC4DFF5" w:rsidRPr="003E4C33" w14:paraId="56628C58" w14:textId="77777777" w:rsidTr="3CAA449D">
        <w:trPr>
          <w:trHeight w:val="300"/>
        </w:trPr>
        <w:tc>
          <w:tcPr>
            <w:tcW w:w="4620" w:type="dxa"/>
            <w:vAlign w:val="center"/>
          </w:tcPr>
          <w:p w14:paraId="0E828CBD" w14:textId="77777777" w:rsidR="0BC4DFF5" w:rsidRPr="003E4C33" w:rsidRDefault="0BC4DFF5" w:rsidP="0BC4DFF5">
            <w:pPr>
              <w:rPr>
                <w:b/>
                <w:bCs/>
                <w:i/>
                <w:iCs/>
              </w:rPr>
            </w:pPr>
            <w:r w:rsidRPr="003E4C33">
              <w:rPr>
                <w:b/>
                <w:bCs/>
                <w:i/>
                <w:iCs/>
              </w:rPr>
              <w:t>Name and job title</w:t>
            </w:r>
          </w:p>
        </w:tc>
        <w:tc>
          <w:tcPr>
            <w:tcW w:w="1901" w:type="dxa"/>
            <w:vAlign w:val="center"/>
          </w:tcPr>
          <w:p w14:paraId="26A26CF0" w14:textId="77777777" w:rsidR="0BC4DFF5" w:rsidRPr="003E4C33" w:rsidRDefault="0BC4DFF5" w:rsidP="0BC4DFF5">
            <w:pPr>
              <w:rPr>
                <w:b/>
                <w:bCs/>
                <w:i/>
                <w:iCs/>
              </w:rPr>
            </w:pPr>
            <w:r w:rsidRPr="003E4C33">
              <w:rPr>
                <w:b/>
                <w:bCs/>
                <w:i/>
                <w:iCs/>
              </w:rPr>
              <w:t xml:space="preserve">Date </w:t>
            </w:r>
          </w:p>
        </w:tc>
      </w:tr>
      <w:tr w:rsidR="0BC4DFF5" w:rsidRPr="003E4C33" w14:paraId="2894A491" w14:textId="77777777" w:rsidTr="3CAA449D">
        <w:trPr>
          <w:trHeight w:val="300"/>
        </w:trPr>
        <w:tc>
          <w:tcPr>
            <w:tcW w:w="4620" w:type="dxa"/>
            <w:vAlign w:val="center"/>
          </w:tcPr>
          <w:p w14:paraId="40C1C683" w14:textId="498F8248" w:rsidR="00B0421E" w:rsidRPr="00B0421E" w:rsidRDefault="00B0421E" w:rsidP="00B0421E">
            <w:pPr>
              <w:spacing w:before="100" w:beforeAutospacing="1" w:after="100" w:afterAutospacing="1"/>
            </w:pPr>
            <w:r w:rsidRPr="00B0421E">
              <w:rPr>
                <w:noProof/>
              </w:rPr>
              <w:drawing>
                <wp:inline distT="0" distB="0" distL="0" distR="0" wp14:anchorId="2F1481BC" wp14:editId="137D5015">
                  <wp:extent cx="1517145" cy="533400"/>
                  <wp:effectExtent l="0" t="0" r="6985" b="0"/>
                  <wp:docPr id="1218881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6259" cy="536604"/>
                          </a:xfrm>
                          <a:prstGeom prst="rect">
                            <a:avLst/>
                          </a:prstGeom>
                          <a:noFill/>
                          <a:ln>
                            <a:noFill/>
                          </a:ln>
                        </pic:spPr>
                      </pic:pic>
                    </a:graphicData>
                  </a:graphic>
                </wp:inline>
              </w:drawing>
            </w:r>
          </w:p>
          <w:p w14:paraId="30865D3D" w14:textId="77777777" w:rsidR="0BC4DFF5" w:rsidRDefault="00F04A84" w:rsidP="00F04A84">
            <w:pPr>
              <w:spacing w:before="100" w:beforeAutospacing="1" w:after="100" w:afterAutospacing="1"/>
            </w:pPr>
            <w:r w:rsidRPr="00F04A84">
              <w:t>Tom Hook, Deputy Chief Executive</w:t>
            </w:r>
          </w:p>
          <w:p w14:paraId="249841EC" w14:textId="4B04E6BC" w:rsidR="00F04A84" w:rsidRPr="00C55247" w:rsidRDefault="00F04A84" w:rsidP="00F04A84">
            <w:pPr>
              <w:spacing w:before="100" w:beforeAutospacing="1" w:after="100" w:afterAutospacing="1"/>
            </w:pPr>
          </w:p>
        </w:tc>
        <w:tc>
          <w:tcPr>
            <w:tcW w:w="1901" w:type="dxa"/>
            <w:vAlign w:val="center"/>
          </w:tcPr>
          <w:p w14:paraId="32E398AB" w14:textId="0C0AC03B" w:rsidR="00CB7A4F" w:rsidRPr="003E4C33" w:rsidRDefault="00B0421E">
            <w:r>
              <w:t>13</w:t>
            </w:r>
            <w:r w:rsidR="00F04A84">
              <w:t>/</w:t>
            </w:r>
            <w:r>
              <w:t>11</w:t>
            </w:r>
            <w:r w:rsidR="00F04A84">
              <w:t>/</w:t>
            </w:r>
            <w:r>
              <w:t>2025</w:t>
            </w:r>
          </w:p>
        </w:tc>
      </w:tr>
    </w:tbl>
    <w:p w14:paraId="5D0123A9" w14:textId="77777777" w:rsidR="001A1BA1" w:rsidRPr="003E4C33" w:rsidRDefault="001A1BA1" w:rsidP="0093067A">
      <w:pPr>
        <w:rPr>
          <w:rFonts w:cs="Arial"/>
        </w:rPr>
      </w:pPr>
    </w:p>
    <w:p w14:paraId="4D10D099" w14:textId="612CC0F3" w:rsidR="001A1BA1" w:rsidRDefault="001A1BA1" w:rsidP="001A1BA1">
      <w:pPr>
        <w:rPr>
          <w:rFonts w:cs="Arial"/>
          <w:b/>
          <w:bCs/>
        </w:rPr>
      </w:pPr>
      <w:r w:rsidRPr="003E4C33">
        <w:rPr>
          <w:rFonts w:cs="Arial"/>
        </w:rPr>
        <w:t xml:space="preserve">This form must be completed and sent to Committee and Member Services </w:t>
      </w:r>
      <w:r w:rsidR="0A996ACD" w:rsidRPr="003E4C33">
        <w:rPr>
          <w:rFonts w:cs="Arial"/>
          <w:b/>
          <w:bCs/>
        </w:rPr>
        <w:t xml:space="preserve">on the date that the decision maker signs it. This must be only done once all consultees have given their approval. </w:t>
      </w:r>
      <w:r w:rsidR="00354567" w:rsidRPr="003E4C33">
        <w:rPr>
          <w:rFonts w:cs="Arial"/>
          <w:b/>
          <w:bCs/>
        </w:rPr>
        <w:t xml:space="preserve"> The decision shall be effective from the date of </w:t>
      </w:r>
      <w:r w:rsidR="395C47E3" w:rsidRPr="003E4C33">
        <w:rPr>
          <w:rFonts w:cs="Arial"/>
          <w:b/>
          <w:bCs/>
        </w:rPr>
        <w:t>publication;</w:t>
      </w:r>
      <w:r w:rsidR="7126238E" w:rsidRPr="003E4C33">
        <w:rPr>
          <w:rFonts w:cs="Arial"/>
          <w:b/>
          <w:bCs/>
        </w:rPr>
        <w:t xml:space="preserve"> </w:t>
      </w:r>
      <w:r w:rsidR="4E780D21" w:rsidRPr="003E4C33">
        <w:rPr>
          <w:rFonts w:cs="Arial"/>
          <w:b/>
          <w:bCs/>
        </w:rPr>
        <w:t>therefore,</w:t>
      </w:r>
      <w:r w:rsidR="7126238E" w:rsidRPr="003E4C33">
        <w:rPr>
          <w:rFonts w:cs="Arial"/>
          <w:b/>
          <w:bCs/>
        </w:rPr>
        <w:t xml:space="preserve"> it is important that you send to Committee and Member Services as soon as it is completed and dated by the decision maker. Please note that it is not effective until it is published and the </w:t>
      </w:r>
      <w:proofErr w:type="gramStart"/>
      <w:r w:rsidR="7126238E" w:rsidRPr="003E4C33">
        <w:rPr>
          <w:rFonts w:cs="Arial"/>
          <w:b/>
          <w:bCs/>
        </w:rPr>
        <w:t>call in</w:t>
      </w:r>
      <w:proofErr w:type="gramEnd"/>
      <w:r w:rsidR="7126238E" w:rsidRPr="003E4C33">
        <w:rPr>
          <w:rFonts w:cs="Arial"/>
          <w:b/>
          <w:bCs/>
        </w:rPr>
        <w:t xml:space="preserve"> period has passed. </w:t>
      </w:r>
    </w:p>
    <w:p w14:paraId="63D98B5A" w14:textId="0E08CFA2" w:rsidR="001A1BA1" w:rsidRPr="003E4C33" w:rsidRDefault="00DF5D4E" w:rsidP="0033565F">
      <w:pPr>
        <w:spacing w:after="0"/>
        <w:rPr>
          <w:rFonts w:cs="Arial"/>
          <w:b/>
        </w:rPr>
      </w:pPr>
      <w:r w:rsidRPr="003E4C33">
        <w:rPr>
          <w:rFonts w:cs="Arial"/>
          <w:b/>
        </w:rPr>
        <w:br w:type="page"/>
      </w:r>
      <w:r w:rsidR="001A1BA1" w:rsidRPr="003E4C33">
        <w:rPr>
          <w:rFonts w:cs="Arial"/>
          <w:b/>
        </w:rPr>
        <w:lastRenderedPageBreak/>
        <w:t>NOTES</w:t>
      </w:r>
    </w:p>
    <w:p w14:paraId="2BC3DEAD" w14:textId="77777777" w:rsidR="001A1BA1" w:rsidRPr="003E4C33" w:rsidRDefault="001A1BA1" w:rsidP="001A1BA1">
      <w:pPr>
        <w:rPr>
          <w:rFonts w:cs="Arial"/>
          <w:b/>
        </w:rPr>
      </w:pPr>
    </w:p>
    <w:p w14:paraId="14426AAB" w14:textId="77777777" w:rsidR="001A1BA1" w:rsidRPr="003E4C33" w:rsidRDefault="001A1BA1" w:rsidP="001A1BA1">
      <w:pPr>
        <w:rPr>
          <w:rFonts w:cs="Arial"/>
        </w:rPr>
      </w:pPr>
      <w:r w:rsidRPr="003E4C33">
        <w:rPr>
          <w:rFonts w:cs="Arial"/>
        </w:rPr>
        <w:t>The law</w:t>
      </w:r>
      <w:r w:rsidRPr="003E4C33">
        <w:rPr>
          <w:rStyle w:val="FootnoteReference"/>
          <w:rFonts w:cs="Arial"/>
        </w:rPr>
        <w:footnoteReference w:id="1"/>
      </w:r>
      <w:r w:rsidRPr="003E4C33">
        <w:rPr>
          <w:rFonts w:cs="Arial"/>
        </w:rPr>
        <w:t xml:space="preserve"> requires the Council to record executive and non-executive decisions taken by officers under delegated powers and to publish them on the Council’s website.  </w:t>
      </w:r>
    </w:p>
    <w:p w14:paraId="5302D11A" w14:textId="77777777" w:rsidR="001A1BA1" w:rsidRPr="003E4C33" w:rsidRDefault="001A1BA1" w:rsidP="001A1BA1">
      <w:pPr>
        <w:rPr>
          <w:rFonts w:cs="Arial"/>
        </w:rPr>
      </w:pPr>
    </w:p>
    <w:p w14:paraId="2E1CA804" w14:textId="77777777" w:rsidR="001A1BA1" w:rsidRPr="003E4C33" w:rsidRDefault="001A1BA1" w:rsidP="001A1BA1">
      <w:pPr>
        <w:rPr>
          <w:rFonts w:cs="Arial"/>
        </w:rPr>
      </w:pPr>
      <w:r w:rsidRPr="003E4C33">
        <w:rPr>
          <w:rFonts w:cs="Arial"/>
        </w:rPr>
        <w:t>These requirements apply</w:t>
      </w:r>
      <w:r w:rsidRPr="003E4C33">
        <w:rPr>
          <w:rFonts w:cs="Arial"/>
          <w:b/>
          <w:bCs/>
        </w:rPr>
        <w:t> </w:t>
      </w:r>
      <w:r w:rsidRPr="003E4C33">
        <w:rPr>
          <w:rFonts w:cs="Arial"/>
        </w:rPr>
        <w:t>to decisions that would have been taken by Council or the Cabinet if delegated powers had not been given to an officer:</w:t>
      </w:r>
    </w:p>
    <w:p w14:paraId="1C666591" w14:textId="77777777" w:rsidR="001A1BA1" w:rsidRPr="003E4C33" w:rsidRDefault="001A1BA1" w:rsidP="001A1BA1">
      <w:pPr>
        <w:numPr>
          <w:ilvl w:val="0"/>
          <w:numId w:val="36"/>
        </w:numPr>
        <w:spacing w:after="0"/>
        <w:rPr>
          <w:rFonts w:cs="Arial"/>
        </w:rPr>
      </w:pPr>
      <w:r w:rsidRPr="003E4C33">
        <w:rPr>
          <w:rFonts w:cs="Arial"/>
        </w:rPr>
        <w:t>under an express delegation granted at a meeting of Cabinet, Council or a Committee.</w:t>
      </w:r>
    </w:p>
    <w:p w14:paraId="1F53236D" w14:textId="3F539FCA" w:rsidR="001A1BA1" w:rsidRPr="003E4C33" w:rsidRDefault="009D7080" w:rsidP="001A1BA1">
      <w:pPr>
        <w:numPr>
          <w:ilvl w:val="0"/>
          <w:numId w:val="36"/>
        </w:numPr>
        <w:spacing w:after="0"/>
        <w:rPr>
          <w:rFonts w:cs="Arial"/>
        </w:rPr>
      </w:pPr>
      <w:r w:rsidRPr="003E4C33">
        <w:rPr>
          <w:rFonts w:cs="Arial"/>
        </w:rPr>
        <w:t xml:space="preserve">in accordance with </w:t>
      </w:r>
      <w:r w:rsidR="70BB03AA" w:rsidRPr="003E4C33">
        <w:rPr>
          <w:rFonts w:cs="Arial"/>
        </w:rPr>
        <w:t xml:space="preserve">Part </w:t>
      </w:r>
      <w:r w:rsidRPr="003E4C33">
        <w:rPr>
          <w:rFonts w:cs="Arial"/>
        </w:rPr>
        <w:t xml:space="preserve">4.4 of the </w:t>
      </w:r>
      <w:r w:rsidR="45BBD153" w:rsidRPr="003E4C33">
        <w:rPr>
          <w:rFonts w:cs="Arial"/>
        </w:rPr>
        <w:t>C</w:t>
      </w:r>
      <w:r w:rsidRPr="003E4C33">
        <w:rPr>
          <w:rFonts w:cs="Arial"/>
        </w:rPr>
        <w:t>onstitution as follows</w:t>
      </w:r>
      <w:r w:rsidR="001A1BA1" w:rsidRPr="003E4C33">
        <w:rPr>
          <w:rFonts w:cs="Arial"/>
        </w:rPr>
        <w:t>:</w:t>
      </w:r>
    </w:p>
    <w:p w14:paraId="77483EB8" w14:textId="77777777" w:rsidR="009D7080" w:rsidRPr="003E4C33" w:rsidRDefault="009D7080" w:rsidP="0033565F">
      <w:pPr>
        <w:pStyle w:val="dBulletpoints"/>
        <w:numPr>
          <w:ilvl w:val="1"/>
          <w:numId w:val="36"/>
        </w:numPr>
        <w:rPr>
          <w:rFonts w:cs="Arial"/>
        </w:rPr>
      </w:pPr>
      <w:r w:rsidRPr="003E4C33">
        <w:rPr>
          <w:rFonts w:cs="Arial"/>
        </w:rPr>
        <w:t>Awarding a contract where authority has been specifically delegated to officers by Cabinet or a Cabinet Member (regardless of value)</w:t>
      </w:r>
    </w:p>
    <w:p w14:paraId="299B0B90" w14:textId="77777777" w:rsidR="009D7080" w:rsidRPr="003E4C33" w:rsidRDefault="009D7080" w:rsidP="0033565F">
      <w:pPr>
        <w:pStyle w:val="dBulletpoints"/>
        <w:numPr>
          <w:ilvl w:val="1"/>
          <w:numId w:val="36"/>
        </w:numPr>
        <w:rPr>
          <w:rFonts w:cs="Arial"/>
        </w:rPr>
      </w:pPr>
      <w:r w:rsidRPr="003E4C33">
        <w:rPr>
          <w:rFonts w:cs="Arial"/>
        </w:rPr>
        <w:t>Acquiring or disposing of freeholds or leaseholds granting new leaseholds (excluding assignments and rent reviews) where authority has been specifically delegated to officers by Cabinet or a Cabinet Member (regardless of value)</w:t>
      </w:r>
    </w:p>
    <w:p w14:paraId="3C174A63" w14:textId="77777777" w:rsidR="009D7080" w:rsidRPr="003E4C33" w:rsidRDefault="009D7080" w:rsidP="0033565F">
      <w:pPr>
        <w:pStyle w:val="dBulletpoints"/>
        <w:numPr>
          <w:ilvl w:val="1"/>
          <w:numId w:val="36"/>
        </w:numPr>
        <w:rPr>
          <w:rFonts w:cs="Arial"/>
        </w:rPr>
      </w:pPr>
      <w:r w:rsidRPr="003E4C33">
        <w:rPr>
          <w:rFonts w:cs="Arial"/>
        </w:rPr>
        <w:t xml:space="preserve">Making a regulatory order which affects </w:t>
      </w:r>
      <w:proofErr w:type="gramStart"/>
      <w:r w:rsidRPr="003E4C33">
        <w:rPr>
          <w:rFonts w:cs="Arial"/>
        </w:rPr>
        <w:t>a number of</w:t>
      </w:r>
      <w:proofErr w:type="gramEnd"/>
      <w:r w:rsidRPr="003E4C33">
        <w:rPr>
          <w:rFonts w:cs="Arial"/>
        </w:rPr>
        <w:t xml:space="preserve"> people, for example a Public Space Protection Order or a Parking Place Order</w:t>
      </w:r>
    </w:p>
    <w:p w14:paraId="648D7ED8" w14:textId="77777777" w:rsidR="009D7080" w:rsidRPr="003E4C33" w:rsidRDefault="009D7080" w:rsidP="0033565F">
      <w:pPr>
        <w:pStyle w:val="dBulletpoints"/>
        <w:numPr>
          <w:ilvl w:val="1"/>
          <w:numId w:val="36"/>
        </w:numPr>
        <w:rPr>
          <w:rFonts w:cs="Arial"/>
        </w:rPr>
      </w:pPr>
      <w:r w:rsidRPr="003E4C33">
        <w:rPr>
          <w:rFonts w:cs="Arial"/>
        </w:rPr>
        <w:t xml:space="preserve">Where the effect of a decision is to grant a licence or </w:t>
      </w:r>
      <w:proofErr w:type="gramStart"/>
      <w:r w:rsidRPr="003E4C33">
        <w:rPr>
          <w:rFonts w:cs="Arial"/>
        </w:rPr>
        <w:t>permission</w:t>
      </w:r>
      <w:proofErr w:type="gramEnd"/>
      <w:r w:rsidRPr="003E4C33">
        <w:rPr>
          <w:rFonts w:cs="Arial"/>
        </w:rPr>
        <w:t xml:space="preserve"> or it affects the rights of citizens</w:t>
      </w:r>
    </w:p>
    <w:p w14:paraId="23481E3B" w14:textId="77777777" w:rsidR="009D7080" w:rsidRPr="003E4C33" w:rsidRDefault="009D7080" w:rsidP="0033565F">
      <w:pPr>
        <w:pStyle w:val="dBulletpoints"/>
        <w:numPr>
          <w:ilvl w:val="1"/>
          <w:numId w:val="36"/>
        </w:numPr>
        <w:rPr>
          <w:rFonts w:cs="Arial"/>
        </w:rPr>
      </w:pPr>
      <w:r w:rsidRPr="003E4C33">
        <w:rPr>
          <w:rFonts w:cs="Arial"/>
        </w:rPr>
        <w:t>Discharging any other express delegation from Cabinet or a Cabinet Member a committee or Council.</w:t>
      </w:r>
    </w:p>
    <w:p w14:paraId="331419B0" w14:textId="77777777" w:rsidR="001A1BA1" w:rsidRPr="003E4C33" w:rsidRDefault="001A1BA1" w:rsidP="001A1BA1">
      <w:pPr>
        <w:ind w:left="1440"/>
        <w:rPr>
          <w:rFonts w:cs="Arial"/>
        </w:rPr>
      </w:pPr>
      <w:bookmarkStart w:id="2" w:name="_bookmark0"/>
      <w:bookmarkEnd w:id="2"/>
    </w:p>
    <w:p w14:paraId="252A5213" w14:textId="77777777" w:rsidR="001A1BA1" w:rsidRPr="003E4C33" w:rsidRDefault="001A1BA1" w:rsidP="001A1BA1">
      <w:pPr>
        <w:rPr>
          <w:rFonts w:cs="Arial"/>
        </w:rPr>
      </w:pPr>
      <w:r w:rsidRPr="003E4C33">
        <w:rPr>
          <w:rFonts w:cs="Arial"/>
        </w:rPr>
        <w:t>These requirements </w:t>
      </w:r>
      <w:r w:rsidRPr="003E4C33">
        <w:rPr>
          <w:rFonts w:cs="Arial"/>
          <w:b/>
          <w:bCs/>
        </w:rPr>
        <w:t>do not</w:t>
      </w:r>
      <w:r w:rsidRPr="003E4C33">
        <w:rPr>
          <w:rFonts w:cs="Arial"/>
        </w:rPr>
        <w:t> apply to:</w:t>
      </w:r>
    </w:p>
    <w:p w14:paraId="639B7446" w14:textId="77777777" w:rsidR="001A1BA1" w:rsidRPr="003E4C33" w:rsidRDefault="001A1BA1" w:rsidP="001A1BA1">
      <w:pPr>
        <w:numPr>
          <w:ilvl w:val="0"/>
          <w:numId w:val="37"/>
        </w:numPr>
        <w:spacing w:after="0"/>
        <w:rPr>
          <w:rFonts w:cs="Arial"/>
        </w:rPr>
      </w:pPr>
      <w:r w:rsidRPr="003E4C33">
        <w:rPr>
          <w:rFonts w:cs="Arial"/>
        </w:rPr>
        <w:t>planning and licencing matters where there are established arrangements for recording decisions: or</w:t>
      </w:r>
    </w:p>
    <w:p w14:paraId="5DC8854F" w14:textId="77777777" w:rsidR="001A1BA1" w:rsidRPr="003E4C33" w:rsidRDefault="001A1BA1" w:rsidP="001A1BA1">
      <w:pPr>
        <w:numPr>
          <w:ilvl w:val="0"/>
          <w:numId w:val="37"/>
        </w:numPr>
        <w:spacing w:after="0"/>
        <w:rPr>
          <w:rFonts w:cs="Arial"/>
        </w:rPr>
      </w:pPr>
      <w:r w:rsidRPr="003E4C33">
        <w:rPr>
          <w:rFonts w:cs="Arial"/>
        </w:rPr>
        <w:t>decisions which are purely administrative or operational in nature</w:t>
      </w:r>
    </w:p>
    <w:p w14:paraId="70AF0668" w14:textId="77777777" w:rsidR="001A1BA1" w:rsidRPr="003E4C33" w:rsidRDefault="001A1BA1" w:rsidP="001A1BA1">
      <w:pPr>
        <w:rPr>
          <w:rFonts w:cs="Arial"/>
        </w:rPr>
      </w:pPr>
    </w:p>
    <w:p w14:paraId="0595B467" w14:textId="5C2E59A5" w:rsidR="001A1BA1" w:rsidRPr="003E4C33" w:rsidRDefault="005E2B45" w:rsidP="001A1BA1">
      <w:pPr>
        <w:rPr>
          <w:rFonts w:cs="Arial"/>
        </w:rPr>
      </w:pPr>
      <w:r w:rsidRPr="003E4C33">
        <w:rPr>
          <w:rFonts w:cs="Arial"/>
        </w:rPr>
        <w:t xml:space="preserve">All other officer decisions should be recorded on an officer decision form but do not need to be published. </w:t>
      </w:r>
      <w:r w:rsidR="3D3B0069" w:rsidRPr="003E4C33">
        <w:rPr>
          <w:rFonts w:cs="Arial"/>
        </w:rPr>
        <w:t xml:space="preserve">They must though be stored </w:t>
      </w:r>
      <w:proofErr w:type="gramStart"/>
      <w:r w:rsidR="3D3B0069" w:rsidRPr="003E4C33">
        <w:rPr>
          <w:rFonts w:cs="Arial"/>
        </w:rPr>
        <w:t>so as to</w:t>
      </w:r>
      <w:proofErr w:type="gramEnd"/>
      <w:r w:rsidR="3D3B0069" w:rsidRPr="003E4C33">
        <w:rPr>
          <w:rFonts w:cs="Arial"/>
        </w:rPr>
        <w:t xml:space="preserve"> ensure that they are not lost should an officer leave the authority.</w:t>
      </w:r>
    </w:p>
    <w:p w14:paraId="5B368731" w14:textId="77777777" w:rsidR="001A1BA1" w:rsidRPr="003E4C33" w:rsidRDefault="001A1BA1" w:rsidP="001A1BA1">
      <w:pPr>
        <w:rPr>
          <w:rFonts w:cs="Arial"/>
        </w:rPr>
      </w:pPr>
    </w:p>
    <w:p w14:paraId="55ED5058" w14:textId="77777777" w:rsidR="001A1BA1" w:rsidRPr="003E4C33" w:rsidRDefault="001A1BA1" w:rsidP="001A1BA1">
      <w:pPr>
        <w:rPr>
          <w:rFonts w:cs="Arial"/>
          <w:b/>
        </w:rPr>
      </w:pPr>
      <w:r w:rsidRPr="003E4C33">
        <w:rPr>
          <w:rFonts w:cs="Arial"/>
          <w:b/>
        </w:rPr>
        <w:t>Exempt or Confidential information</w:t>
      </w:r>
    </w:p>
    <w:p w14:paraId="0C302F3E" w14:textId="77777777" w:rsidR="001A1BA1" w:rsidRPr="003E4C33" w:rsidRDefault="001A1BA1" w:rsidP="001A1BA1">
      <w:pPr>
        <w:rPr>
          <w:rFonts w:cs="Arial"/>
          <w:b/>
        </w:rPr>
      </w:pPr>
    </w:p>
    <w:p w14:paraId="2F9106E3" w14:textId="120D4896" w:rsidR="001A1BA1" w:rsidRPr="003E4C33" w:rsidRDefault="001A1BA1" w:rsidP="001A1BA1">
      <w:pPr>
        <w:rPr>
          <w:rFonts w:cs="Arial"/>
        </w:rPr>
      </w:pPr>
      <w:r w:rsidRPr="003E4C33">
        <w:rPr>
          <w:rFonts w:cs="Arial"/>
        </w:rPr>
        <w:t xml:space="preserve">Information relating to a delegated officer </w:t>
      </w:r>
      <w:r w:rsidR="086B0F04" w:rsidRPr="003E4C33">
        <w:rPr>
          <w:rFonts w:cs="Arial"/>
        </w:rPr>
        <w:t xml:space="preserve">or single member </w:t>
      </w:r>
      <w:r w:rsidRPr="003E4C33">
        <w:rPr>
          <w:rFonts w:cs="Arial"/>
        </w:rPr>
        <w:t xml:space="preserve">decision does not have to be made public if it is exempt or confidential. Summary information from this decision </w:t>
      </w:r>
      <w:r w:rsidRPr="003E4C33">
        <w:rPr>
          <w:rFonts w:cs="Arial"/>
        </w:rPr>
        <w:lastRenderedPageBreak/>
        <w:t>sheet (excluding all exempt or confidential information) will be published on the Council’s website.</w:t>
      </w:r>
    </w:p>
    <w:p w14:paraId="69C1F021" w14:textId="77777777" w:rsidR="001A1BA1" w:rsidRPr="003E4C33" w:rsidRDefault="001A1BA1" w:rsidP="001A1BA1">
      <w:pPr>
        <w:rPr>
          <w:rFonts w:cs="Arial"/>
        </w:rPr>
      </w:pPr>
    </w:p>
    <w:p w14:paraId="50260EA2" w14:textId="77777777" w:rsidR="001A1BA1" w:rsidRPr="003E4C33" w:rsidRDefault="001A1BA1" w:rsidP="001A1BA1">
      <w:pPr>
        <w:rPr>
          <w:rFonts w:cs="Arial"/>
          <w:b/>
        </w:rPr>
      </w:pPr>
      <w:r w:rsidRPr="003E4C33">
        <w:rPr>
          <w:rFonts w:cs="Arial"/>
          <w:b/>
        </w:rPr>
        <w:t xml:space="preserve">Key or </w:t>
      </w:r>
      <w:proofErr w:type="gramStart"/>
      <w:r w:rsidRPr="003E4C33">
        <w:rPr>
          <w:rFonts w:cs="Arial"/>
          <w:b/>
        </w:rPr>
        <w:t>Non Key</w:t>
      </w:r>
      <w:proofErr w:type="gramEnd"/>
      <w:r w:rsidRPr="003E4C33">
        <w:rPr>
          <w:rFonts w:cs="Arial"/>
          <w:b/>
        </w:rPr>
        <w:t xml:space="preserve"> Decision</w:t>
      </w:r>
    </w:p>
    <w:p w14:paraId="5F0C453A" w14:textId="77777777" w:rsidR="001A1BA1" w:rsidRPr="003E4C33" w:rsidRDefault="001A1BA1" w:rsidP="001A1BA1">
      <w:pPr>
        <w:rPr>
          <w:rFonts w:cs="Arial"/>
          <w:b/>
        </w:rPr>
      </w:pPr>
    </w:p>
    <w:p w14:paraId="1111D469" w14:textId="20C690CE" w:rsidR="00226F8A" w:rsidRPr="003E4C33" w:rsidRDefault="001A1BA1" w:rsidP="00EE149B">
      <w:pPr>
        <w:rPr>
          <w:rFonts w:cs="Arial"/>
        </w:rPr>
      </w:pPr>
      <w:r w:rsidRPr="003E4C33">
        <w:rPr>
          <w:rFonts w:cs="Arial"/>
        </w:rPr>
        <w:t>A key decision is an executive decision</w:t>
      </w:r>
      <w:r w:rsidR="00226F8A" w:rsidRPr="003E4C33">
        <w:rPr>
          <w:rFonts w:cs="Arial"/>
        </w:rPr>
        <w:t xml:space="preserve"> which is likely to: </w:t>
      </w:r>
    </w:p>
    <w:p w14:paraId="740E83CD" w14:textId="77777777" w:rsidR="00226F8A" w:rsidRPr="003E4C33" w:rsidRDefault="00226F8A" w:rsidP="00226F8A">
      <w:pPr>
        <w:pStyle w:val="dBulletpoints"/>
        <w:tabs>
          <w:tab w:val="clear" w:pos="1418"/>
        </w:tabs>
        <w:ind w:left="1276" w:hanging="284"/>
        <w:rPr>
          <w:rFonts w:cs="Arial"/>
        </w:rPr>
      </w:pPr>
      <w:r w:rsidRPr="003E4C33">
        <w:rPr>
          <w:rFonts w:cs="Arial"/>
        </w:rPr>
        <w:t>Have a significant effect on people living or working in a least two wards or</w:t>
      </w:r>
    </w:p>
    <w:p w14:paraId="6BE3507F" w14:textId="77777777" w:rsidR="00226F8A" w:rsidRPr="003E4C33" w:rsidRDefault="00226F8A" w:rsidP="00226F8A">
      <w:pPr>
        <w:pStyle w:val="dBulletpoints"/>
        <w:tabs>
          <w:tab w:val="clear" w:pos="1418"/>
        </w:tabs>
        <w:ind w:left="1276" w:hanging="284"/>
        <w:rPr>
          <w:rFonts w:cs="Arial"/>
        </w:rPr>
      </w:pPr>
      <w:r w:rsidRPr="003E4C33">
        <w:rPr>
          <w:rFonts w:cs="Arial"/>
        </w:rPr>
        <w:t>Involve spending, income, or saving a significant amount – whether an amount is significant depends on the Council’s total budget for the service involved. For this Council ‘significant’ in budgetary terms is:</w:t>
      </w:r>
    </w:p>
    <w:p w14:paraId="0A94104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Expenditure, income, or savings of £750,000 or greater in the context of the </w:t>
      </w:r>
      <w:proofErr w:type="gramStart"/>
      <w:r w:rsidRPr="003E4C33">
        <w:rPr>
          <w:rFonts w:cs="Arial"/>
        </w:rPr>
        <w:t>medium term</w:t>
      </w:r>
      <w:proofErr w:type="gramEnd"/>
      <w:r w:rsidRPr="003E4C33">
        <w:rPr>
          <w:rFonts w:cs="Arial"/>
        </w:rPr>
        <w:t xml:space="preserve"> financial strategy, </w:t>
      </w:r>
    </w:p>
    <w:p w14:paraId="6D402151"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freeholds with a consideration over £500,000 in the context of the </w:t>
      </w:r>
      <w:proofErr w:type="gramStart"/>
      <w:r w:rsidRPr="003E4C33">
        <w:rPr>
          <w:rFonts w:cs="Arial"/>
        </w:rPr>
        <w:t>medium term</w:t>
      </w:r>
      <w:proofErr w:type="gramEnd"/>
      <w:r w:rsidRPr="003E4C33">
        <w:rPr>
          <w:rFonts w:cs="Arial"/>
        </w:rPr>
        <w:t xml:space="preserve"> financial strategy except for disposals pursuant to right to buy legislation</w:t>
      </w:r>
    </w:p>
    <w:p w14:paraId="504B17DC"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 xml:space="preserve">Acquiring or disposing of leaseholds where either the rental value is </w:t>
      </w:r>
      <w:proofErr w:type="gramStart"/>
      <w:r w:rsidRPr="003E4C33">
        <w:rPr>
          <w:rFonts w:cs="Arial"/>
        </w:rPr>
        <w:t>in excess of</w:t>
      </w:r>
      <w:proofErr w:type="gramEnd"/>
      <w:r w:rsidRPr="003E4C33">
        <w:rPr>
          <w:rFonts w:cs="Arial"/>
        </w:rPr>
        <w:t xml:space="preserve"> £250,000 per annum and/or the premium is £750,000 except for statutory lease renewals under Part 2 of the Landlord and Tenant Act 1954 and disposals pursuant to right to buy legislation and disposals pursuant to right to buy legislation.</w:t>
      </w:r>
    </w:p>
    <w:p w14:paraId="6BDF4170" w14:textId="77777777" w:rsidR="00226F8A" w:rsidRPr="003E4C33" w:rsidRDefault="00226F8A" w:rsidP="00226F8A">
      <w:pPr>
        <w:pStyle w:val="dBulletpoints"/>
        <w:numPr>
          <w:ilvl w:val="1"/>
          <w:numId w:val="3"/>
        </w:numPr>
        <w:tabs>
          <w:tab w:val="clear" w:pos="1418"/>
        </w:tabs>
        <w:ind w:left="2268" w:hanging="567"/>
        <w:rPr>
          <w:rFonts w:cs="Arial"/>
        </w:rPr>
      </w:pPr>
      <w:r w:rsidRPr="003E4C33">
        <w:rPr>
          <w:rFonts w:cs="Arial"/>
        </w:rPr>
        <w:t>Acquiring or disposing of easements with a value over £750,000 and/or rental value over £250,000 each year</w:t>
      </w:r>
    </w:p>
    <w:p w14:paraId="56AC09C2" w14:textId="77777777" w:rsidR="00226F8A" w:rsidRPr="003E4C33" w:rsidRDefault="001A1BA1" w:rsidP="001A1BA1">
      <w:pPr>
        <w:rPr>
          <w:rFonts w:cs="Arial"/>
        </w:rPr>
      </w:pPr>
      <w:r w:rsidRPr="003E4C33">
        <w:rPr>
          <w:rFonts w:cs="Arial"/>
        </w:rPr>
        <w:t xml:space="preserve"> </w:t>
      </w:r>
    </w:p>
    <w:p w14:paraId="227A5352" w14:textId="78F4957C" w:rsidR="001A1BA1" w:rsidRPr="003E4C33" w:rsidRDefault="001A1BA1" w:rsidP="001A1BA1">
      <w:pPr>
        <w:rPr>
          <w:rFonts w:cs="Arial"/>
        </w:rPr>
      </w:pPr>
      <w:r w:rsidRPr="6705CB2F">
        <w:rPr>
          <w:rFonts w:cs="Arial"/>
        </w:rPr>
        <w:t xml:space="preserve">A key decision can only be taken and recorded here if notice of it has been published </w:t>
      </w:r>
      <w:r w:rsidR="7ACC6696" w:rsidRPr="6705CB2F">
        <w:rPr>
          <w:rFonts w:cs="Arial"/>
        </w:rPr>
        <w:t>o</w:t>
      </w:r>
      <w:r w:rsidRPr="6705CB2F">
        <w:rPr>
          <w:rFonts w:cs="Arial"/>
        </w:rPr>
        <w:t>n the Forward Plan for at least 28 clear days. Key decisions taken by officers may be “called in” by any four councillors or the Chair of the Scrutiny Committee within two days of the notice of decision being published.</w:t>
      </w:r>
      <w:r>
        <w:tab/>
      </w:r>
    </w:p>
    <w:p w14:paraId="49DB25B0" w14:textId="77777777" w:rsidR="001A1BA1" w:rsidRPr="003E4C33" w:rsidRDefault="001A1BA1" w:rsidP="0093067A">
      <w:pPr>
        <w:rPr>
          <w:rFonts w:cs="Arial"/>
        </w:rPr>
      </w:pPr>
    </w:p>
    <w:sectPr w:rsidR="001A1BA1" w:rsidRPr="003E4C33" w:rsidSect="002B6836">
      <w:headerReference w:type="default" r:id="rId14"/>
      <w:footerReference w:type="even" r:id="rId15"/>
      <w:footerReference w:type="default" r:id="rId16"/>
      <w:headerReference w:type="first" r:id="rId17"/>
      <w:footerReference w:type="first" r:id="rId18"/>
      <w:pgSz w:w="11906" w:h="16838" w:code="9"/>
      <w:pgMar w:top="1418" w:right="1304" w:bottom="1628"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ECFF" w14:textId="77777777" w:rsidR="00D65C8D" w:rsidRDefault="00D65C8D" w:rsidP="004A6D2F">
      <w:r>
        <w:separator/>
      </w:r>
    </w:p>
  </w:endnote>
  <w:endnote w:type="continuationSeparator" w:id="0">
    <w:p w14:paraId="08339BB0" w14:textId="77777777" w:rsidR="00D65C8D" w:rsidRDefault="00D65C8D" w:rsidP="004A6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396E9" w14:textId="77777777" w:rsidR="00364FAD" w:rsidRDefault="00364FAD" w:rsidP="004A6D2F">
    <w:pPr>
      <w:pStyle w:val="Footer"/>
    </w:pPr>
    <w:r>
      <w:t>Do not use a footer or page numbers.</w:t>
    </w:r>
  </w:p>
  <w:p w14:paraId="382151EB" w14:textId="77777777" w:rsidR="00364FAD" w:rsidRDefault="00364FAD" w:rsidP="004A6D2F">
    <w:pPr>
      <w:pStyle w:val="Footer"/>
    </w:pPr>
  </w:p>
  <w:p w14:paraId="71508626" w14:textId="77777777" w:rsidR="00364FAD" w:rsidRDefault="00364FAD" w:rsidP="004A6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75BAF" w14:textId="77777777" w:rsidR="001A1BA1" w:rsidRPr="001A1BA1" w:rsidRDefault="001A1BA1" w:rsidP="001A1BA1">
    <w:pPr>
      <w:pStyle w:val="Footer"/>
      <w:jc w:val="center"/>
      <w:rPr>
        <w:rFonts w:cs="Arial"/>
        <w:b/>
        <w:sz w:val="24"/>
      </w:rPr>
    </w:pPr>
    <w:r w:rsidRPr="001A1BA1">
      <w:rPr>
        <w:rFonts w:cs="Arial"/>
        <w:b/>
        <w:sz w:val="24"/>
      </w:rPr>
      <w:t xml:space="preserve">Please send the completed form to </w:t>
    </w:r>
    <w:hyperlink r:id="rId1" w:history="1">
      <w:r w:rsidRPr="001A1BA1">
        <w:rPr>
          <w:rStyle w:val="Hyperlink"/>
          <w:rFonts w:cs="Arial"/>
          <w:b/>
        </w:rPr>
        <w:t>forwardplan@oxford.gov.uk</w:t>
      </w:r>
    </w:hyperlink>
  </w:p>
  <w:p w14:paraId="5B751826" w14:textId="77777777" w:rsidR="001A1BA1" w:rsidRDefault="001A1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51E1F694" w14:textId="77777777" w:rsidTr="0287E82A">
      <w:trPr>
        <w:trHeight w:val="300"/>
      </w:trPr>
      <w:tc>
        <w:tcPr>
          <w:tcW w:w="3095" w:type="dxa"/>
        </w:tcPr>
        <w:p w14:paraId="126F9EB7" w14:textId="11AAB0A5" w:rsidR="0287E82A" w:rsidRDefault="0287E82A" w:rsidP="0287E82A">
          <w:pPr>
            <w:pStyle w:val="Header"/>
            <w:ind w:left="-115"/>
          </w:pPr>
        </w:p>
      </w:tc>
      <w:tc>
        <w:tcPr>
          <w:tcW w:w="3095" w:type="dxa"/>
        </w:tcPr>
        <w:p w14:paraId="64C45085" w14:textId="32C406C4" w:rsidR="0287E82A" w:rsidRDefault="0287E82A" w:rsidP="0287E82A">
          <w:pPr>
            <w:pStyle w:val="Header"/>
            <w:jc w:val="center"/>
          </w:pPr>
        </w:p>
      </w:tc>
      <w:tc>
        <w:tcPr>
          <w:tcW w:w="3095" w:type="dxa"/>
        </w:tcPr>
        <w:p w14:paraId="3629DF67" w14:textId="523EA6A7" w:rsidR="0287E82A" w:rsidRDefault="0287E82A" w:rsidP="0287E82A">
          <w:pPr>
            <w:pStyle w:val="Header"/>
            <w:ind w:right="-115"/>
            <w:jc w:val="right"/>
          </w:pPr>
        </w:p>
      </w:tc>
    </w:tr>
  </w:tbl>
  <w:p w14:paraId="2AB29197" w14:textId="39E39241" w:rsidR="0287E82A" w:rsidRDefault="0287E8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5DBB" w14:textId="77777777" w:rsidR="00D65C8D" w:rsidRDefault="00D65C8D" w:rsidP="004A6D2F">
      <w:r>
        <w:separator/>
      </w:r>
    </w:p>
  </w:footnote>
  <w:footnote w:type="continuationSeparator" w:id="0">
    <w:p w14:paraId="5CBF6375" w14:textId="77777777" w:rsidR="00D65C8D" w:rsidRDefault="00D65C8D" w:rsidP="004A6D2F">
      <w:r>
        <w:continuationSeparator/>
      </w:r>
    </w:p>
  </w:footnote>
  <w:footnote w:id="1">
    <w:p w14:paraId="03C72BA4" w14:textId="77777777" w:rsidR="001A1BA1" w:rsidRDefault="001A1BA1" w:rsidP="001A1BA1">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287E82A" w14:paraId="428AB7D6" w14:textId="77777777" w:rsidTr="0287E82A">
      <w:trPr>
        <w:trHeight w:val="300"/>
      </w:trPr>
      <w:tc>
        <w:tcPr>
          <w:tcW w:w="3095" w:type="dxa"/>
        </w:tcPr>
        <w:p w14:paraId="335EDB8C" w14:textId="1DA382D9" w:rsidR="0287E82A" w:rsidRDefault="0287E82A" w:rsidP="0287E82A">
          <w:pPr>
            <w:pStyle w:val="Header"/>
            <w:ind w:left="-115"/>
          </w:pPr>
        </w:p>
      </w:tc>
      <w:tc>
        <w:tcPr>
          <w:tcW w:w="3095" w:type="dxa"/>
        </w:tcPr>
        <w:p w14:paraId="063D6891" w14:textId="4377102D" w:rsidR="0287E82A" w:rsidRDefault="0287E82A" w:rsidP="0287E82A">
          <w:pPr>
            <w:pStyle w:val="Header"/>
            <w:jc w:val="center"/>
          </w:pPr>
        </w:p>
      </w:tc>
      <w:tc>
        <w:tcPr>
          <w:tcW w:w="3095" w:type="dxa"/>
        </w:tcPr>
        <w:p w14:paraId="5966C48B" w14:textId="4772D183" w:rsidR="0287E82A" w:rsidRDefault="0287E82A" w:rsidP="0287E82A">
          <w:pPr>
            <w:pStyle w:val="Header"/>
            <w:ind w:right="-115"/>
            <w:jc w:val="right"/>
          </w:pPr>
        </w:p>
      </w:tc>
    </w:tr>
  </w:tbl>
  <w:p w14:paraId="2B32A097" w14:textId="03258520" w:rsidR="0287E82A" w:rsidRDefault="0287E82A" w:rsidP="0287E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2914" w14:textId="77777777" w:rsidR="00D5547E" w:rsidRDefault="00C05260" w:rsidP="00D5547E">
    <w:pPr>
      <w:pStyle w:val="Header"/>
      <w:jc w:val="right"/>
    </w:pPr>
    <w:r>
      <w:rPr>
        <w:noProof/>
      </w:rPr>
      <w:drawing>
        <wp:inline distT="0" distB="0" distL="0" distR="0" wp14:anchorId="1D64DAF5" wp14:editId="4130AF70">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GAUv9zLy" int2:invalidationBookmarkName="" int2:hashCode="e0dMsLOcF3PXGS" int2:id="JsfpHfDO">
      <int2:state int2:value="Rejected" int2:type="style"/>
    </int2:bookmark>
    <int2:bookmark int2:bookmarkName="_Int_sgd4jkOI" int2:invalidationBookmarkName="" int2:hashCode="J+kN+lfDWKz69H" int2:id="Y1v8NDA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FFFFFFFF"/>
    <w:lvl w:ilvl="0">
      <w:numFmt w:val="bullet"/>
      <w:lvlText w:val=""/>
      <w:lvlJc w:val="left"/>
      <w:pPr>
        <w:ind w:left="1042" w:hanging="425"/>
      </w:pPr>
      <w:rPr>
        <w:rFonts w:ascii="Symbol" w:hAnsi="Symbol" w:cs="Symbol"/>
        <w:b w:val="0"/>
        <w:bCs w:val="0"/>
        <w:w w:val="100"/>
        <w:sz w:val="24"/>
        <w:szCs w:val="24"/>
      </w:rPr>
    </w:lvl>
    <w:lvl w:ilvl="1">
      <w:numFmt w:val="bullet"/>
      <w:lvlText w:val="•"/>
      <w:lvlJc w:val="left"/>
      <w:pPr>
        <w:ind w:left="1826" w:hanging="425"/>
      </w:pPr>
    </w:lvl>
    <w:lvl w:ilvl="2">
      <w:numFmt w:val="bullet"/>
      <w:lvlText w:val="•"/>
      <w:lvlJc w:val="left"/>
      <w:pPr>
        <w:ind w:left="2613" w:hanging="425"/>
      </w:pPr>
    </w:lvl>
    <w:lvl w:ilvl="3">
      <w:numFmt w:val="bullet"/>
      <w:lvlText w:val="•"/>
      <w:lvlJc w:val="left"/>
      <w:pPr>
        <w:ind w:left="3399" w:hanging="425"/>
      </w:pPr>
    </w:lvl>
    <w:lvl w:ilvl="4">
      <w:numFmt w:val="bullet"/>
      <w:lvlText w:val="•"/>
      <w:lvlJc w:val="left"/>
      <w:pPr>
        <w:ind w:left="4186" w:hanging="425"/>
      </w:pPr>
    </w:lvl>
    <w:lvl w:ilvl="5">
      <w:numFmt w:val="bullet"/>
      <w:lvlText w:val="•"/>
      <w:lvlJc w:val="left"/>
      <w:pPr>
        <w:ind w:left="4973" w:hanging="425"/>
      </w:pPr>
    </w:lvl>
    <w:lvl w:ilvl="6">
      <w:numFmt w:val="bullet"/>
      <w:lvlText w:val="•"/>
      <w:lvlJc w:val="left"/>
      <w:pPr>
        <w:ind w:left="5759" w:hanging="425"/>
      </w:pPr>
    </w:lvl>
    <w:lvl w:ilvl="7">
      <w:numFmt w:val="bullet"/>
      <w:lvlText w:val="•"/>
      <w:lvlJc w:val="left"/>
      <w:pPr>
        <w:ind w:left="6546" w:hanging="425"/>
      </w:pPr>
    </w:lvl>
    <w:lvl w:ilvl="8">
      <w:numFmt w:val="bullet"/>
      <w:lvlText w:val="•"/>
      <w:lvlJc w:val="left"/>
      <w:pPr>
        <w:ind w:left="7333" w:hanging="425"/>
      </w:pPr>
    </w:lvl>
  </w:abstractNum>
  <w:abstractNum w:abstractNumId="11"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hint="default"/>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49C05EF"/>
    <w:multiLevelType w:val="multilevel"/>
    <w:tmpl w:val="43D6D2FA"/>
    <w:numStyleLink w:val="StyleBulletedSymbolsymbolLeft063cmHanging063cm"/>
  </w:abstractNum>
  <w:abstractNum w:abstractNumId="14"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E1B843"/>
    <w:multiLevelType w:val="multilevel"/>
    <w:tmpl w:val="879048A6"/>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980FC5"/>
    <w:multiLevelType w:val="hybridMultilevel"/>
    <w:tmpl w:val="5B36B17E"/>
    <w:lvl w:ilvl="0" w:tplc="AFA25F0A">
      <w:start w:val="1"/>
      <w:numFmt w:val="bullet"/>
      <w:pStyle w:val="Bulletpoints"/>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2263A6A"/>
    <w:multiLevelType w:val="multilevel"/>
    <w:tmpl w:val="43D6D2FA"/>
    <w:numStyleLink w:val="StyleBulletedSymbolsymbolLeft063cmHanging063cm"/>
  </w:abstractNum>
  <w:abstractNum w:abstractNumId="20"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C19FC"/>
    <w:multiLevelType w:val="hybridMultilevel"/>
    <w:tmpl w:val="24321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2027960"/>
    <w:multiLevelType w:val="hybridMultilevel"/>
    <w:tmpl w:val="501CC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F1818E4"/>
    <w:multiLevelType w:val="multilevel"/>
    <w:tmpl w:val="9056D6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56565907"/>
    <w:multiLevelType w:val="hybridMultilevel"/>
    <w:tmpl w:val="55949A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ABA5FD8"/>
    <w:multiLevelType w:val="multilevel"/>
    <w:tmpl w:val="43D6D2FA"/>
    <w:numStyleLink w:val="StyleBulletedSymbolsymbolLeft063cmHanging063cm"/>
  </w:abstractNum>
  <w:abstractNum w:abstractNumId="34" w15:restartNumberingAfterBreak="0">
    <w:nsid w:val="5C7E19E2"/>
    <w:multiLevelType w:val="hybridMultilevel"/>
    <w:tmpl w:val="3146A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A22831"/>
    <w:multiLevelType w:val="multilevel"/>
    <w:tmpl w:val="43D6D2FA"/>
    <w:numStyleLink w:val="StyleBulletedSymbolsymbolLeft063cmHanging063cm"/>
  </w:abstractNum>
  <w:abstractNum w:abstractNumId="36" w15:restartNumberingAfterBreak="0">
    <w:nsid w:val="69829246"/>
    <w:multiLevelType w:val="multilevel"/>
    <w:tmpl w:val="8EEA275E"/>
    <w:lvl w:ilvl="0">
      <w:start w:val="1"/>
      <w:numFmt w:val="decimal"/>
      <w:lvlText w:val="%1."/>
      <w:lvlJc w:val="left"/>
      <w:pPr>
        <w:ind w:left="36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1550E4"/>
    <w:multiLevelType w:val="hybridMultilevel"/>
    <w:tmpl w:val="DD86F5E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539BA"/>
    <w:multiLevelType w:val="hybridMultilevel"/>
    <w:tmpl w:val="C1C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5F76972"/>
    <w:multiLevelType w:val="hybridMultilevel"/>
    <w:tmpl w:val="0EF429D8"/>
    <w:lvl w:ilvl="0" w:tplc="CF64A572">
      <w:start w:val="1"/>
      <w:numFmt w:val="bullet"/>
      <w:lvlText w:val=""/>
      <w:lvlJc w:val="left"/>
      <w:pPr>
        <w:ind w:left="720" w:hanging="360"/>
      </w:pPr>
      <w:rPr>
        <w:rFonts w:ascii="Symbol" w:hAnsi="Symbol" w:hint="default"/>
        <w:color w:val="A6A6A6" w:themeColor="background1" w:themeShade="A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8365C6"/>
    <w:multiLevelType w:val="multilevel"/>
    <w:tmpl w:val="E67CE66C"/>
    <w:numStyleLink w:val="StyleNumberedLeft0cmHanging075cm"/>
  </w:abstractNum>
  <w:abstractNum w:abstractNumId="43" w15:restartNumberingAfterBreak="0">
    <w:nsid w:val="7C300CEE"/>
    <w:multiLevelType w:val="hybridMultilevel"/>
    <w:tmpl w:val="D5140A3A"/>
    <w:lvl w:ilvl="0" w:tplc="94D425EC">
      <w:start w:val="1"/>
      <w:numFmt w:val="bullet"/>
      <w:pStyle w:val="dBulletpoints"/>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416632117">
    <w:abstractNumId w:val="36"/>
  </w:num>
  <w:num w:numId="2" w16cid:durableId="295525028">
    <w:abstractNumId w:val="16"/>
  </w:num>
  <w:num w:numId="3" w16cid:durableId="449398042">
    <w:abstractNumId w:val="32"/>
  </w:num>
  <w:num w:numId="4" w16cid:durableId="155997720">
    <w:abstractNumId w:val="38"/>
  </w:num>
  <w:num w:numId="5" w16cid:durableId="684749378">
    <w:abstractNumId w:val="27"/>
  </w:num>
  <w:num w:numId="6" w16cid:durableId="432477665">
    <w:abstractNumId w:val="20"/>
  </w:num>
  <w:num w:numId="7" w16cid:durableId="1168204831">
    <w:abstractNumId w:val="34"/>
  </w:num>
  <w:num w:numId="8" w16cid:durableId="155805248">
    <w:abstractNumId w:val="40"/>
  </w:num>
  <w:num w:numId="9" w16cid:durableId="1582835092">
    <w:abstractNumId w:val="26"/>
  </w:num>
  <w:num w:numId="10" w16cid:durableId="1896813794">
    <w:abstractNumId w:val="22"/>
  </w:num>
  <w:num w:numId="11" w16cid:durableId="1223564051">
    <w:abstractNumId w:val="14"/>
  </w:num>
  <w:num w:numId="12" w16cid:durableId="1616984022">
    <w:abstractNumId w:val="17"/>
  </w:num>
  <w:num w:numId="13" w16cid:durableId="611942354">
    <w:abstractNumId w:val="29"/>
  </w:num>
  <w:num w:numId="14" w16cid:durableId="48847933">
    <w:abstractNumId w:val="28"/>
  </w:num>
  <w:num w:numId="15" w16cid:durableId="1594360626">
    <w:abstractNumId w:val="11"/>
  </w:num>
  <w:num w:numId="16" w16cid:durableId="806975598">
    <w:abstractNumId w:val="42"/>
  </w:num>
  <w:num w:numId="17" w16cid:durableId="1143692141">
    <w:abstractNumId w:val="18"/>
  </w:num>
  <w:num w:numId="18" w16cid:durableId="290284048">
    <w:abstractNumId w:val="12"/>
  </w:num>
  <w:num w:numId="19" w16cid:durableId="346717609">
    <w:abstractNumId w:val="33"/>
  </w:num>
  <w:num w:numId="20" w16cid:durableId="490602500">
    <w:abstractNumId w:val="13"/>
  </w:num>
  <w:num w:numId="21" w16cid:durableId="1664510238">
    <w:abstractNumId w:val="35"/>
  </w:num>
  <w:num w:numId="22" w16cid:durableId="1264797914">
    <w:abstractNumId w:val="19"/>
  </w:num>
  <w:num w:numId="23" w16cid:durableId="1892495712">
    <w:abstractNumId w:val="23"/>
  </w:num>
  <w:num w:numId="24" w16cid:durableId="1551064890">
    <w:abstractNumId w:val="15"/>
  </w:num>
  <w:num w:numId="25" w16cid:durableId="637807967">
    <w:abstractNumId w:val="37"/>
  </w:num>
  <w:num w:numId="26" w16cid:durableId="154421734">
    <w:abstractNumId w:val="9"/>
  </w:num>
  <w:num w:numId="27" w16cid:durableId="1886019358">
    <w:abstractNumId w:val="8"/>
  </w:num>
  <w:num w:numId="28" w16cid:durableId="1361129502">
    <w:abstractNumId w:val="7"/>
  </w:num>
  <w:num w:numId="29" w16cid:durableId="2022001061">
    <w:abstractNumId w:val="6"/>
  </w:num>
  <w:num w:numId="30" w16cid:durableId="1058166686">
    <w:abstractNumId w:val="5"/>
  </w:num>
  <w:num w:numId="31" w16cid:durableId="422143662">
    <w:abstractNumId w:val="4"/>
  </w:num>
  <w:num w:numId="32" w16cid:durableId="616378356">
    <w:abstractNumId w:val="3"/>
  </w:num>
  <w:num w:numId="33" w16cid:durableId="1832872710">
    <w:abstractNumId w:val="2"/>
  </w:num>
  <w:num w:numId="34" w16cid:durableId="453138125">
    <w:abstractNumId w:val="1"/>
  </w:num>
  <w:num w:numId="35" w16cid:durableId="1932004242">
    <w:abstractNumId w:val="0"/>
  </w:num>
  <w:num w:numId="36" w16cid:durableId="1819808808">
    <w:abstractNumId w:val="30"/>
  </w:num>
  <w:num w:numId="37" w16cid:durableId="840047793">
    <w:abstractNumId w:val="31"/>
  </w:num>
  <w:num w:numId="38" w16cid:durableId="1263950813">
    <w:abstractNumId w:val="41"/>
  </w:num>
  <w:num w:numId="39" w16cid:durableId="327559103">
    <w:abstractNumId w:val="10"/>
  </w:num>
  <w:num w:numId="40" w16cid:durableId="1311447890">
    <w:abstractNumId w:val="43"/>
  </w:num>
  <w:num w:numId="41" w16cid:durableId="1370304610">
    <w:abstractNumId w:val="39"/>
  </w:num>
  <w:num w:numId="42" w16cid:durableId="1152941978">
    <w:abstractNumId w:val="21"/>
  </w:num>
  <w:num w:numId="43" w16cid:durableId="491873441">
    <w:abstractNumId w:val="24"/>
  </w:num>
  <w:num w:numId="44" w16cid:durableId="2006741231">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5CE3"/>
    <w:rsid w:val="000117D4"/>
    <w:rsid w:val="0001511A"/>
    <w:rsid w:val="000314D7"/>
    <w:rsid w:val="00034054"/>
    <w:rsid w:val="00045F8B"/>
    <w:rsid w:val="00046D2B"/>
    <w:rsid w:val="00056263"/>
    <w:rsid w:val="00060953"/>
    <w:rsid w:val="00064D8A"/>
    <w:rsid w:val="00064F82"/>
    <w:rsid w:val="00066510"/>
    <w:rsid w:val="00077523"/>
    <w:rsid w:val="0008425C"/>
    <w:rsid w:val="00085CE9"/>
    <w:rsid w:val="000B1DFC"/>
    <w:rsid w:val="000C089F"/>
    <w:rsid w:val="000C3928"/>
    <w:rsid w:val="000C5E8E"/>
    <w:rsid w:val="000F3878"/>
    <w:rsid w:val="000F4751"/>
    <w:rsid w:val="0010524C"/>
    <w:rsid w:val="00111FB1"/>
    <w:rsid w:val="00113418"/>
    <w:rsid w:val="00117C1C"/>
    <w:rsid w:val="00124E5C"/>
    <w:rsid w:val="001356F1"/>
    <w:rsid w:val="00136994"/>
    <w:rsid w:val="0014128E"/>
    <w:rsid w:val="00151888"/>
    <w:rsid w:val="00170A2D"/>
    <w:rsid w:val="001808BC"/>
    <w:rsid w:val="00182B81"/>
    <w:rsid w:val="0018619D"/>
    <w:rsid w:val="001933FA"/>
    <w:rsid w:val="001A011E"/>
    <w:rsid w:val="001A066A"/>
    <w:rsid w:val="001A13E6"/>
    <w:rsid w:val="001A1BA1"/>
    <w:rsid w:val="001A5731"/>
    <w:rsid w:val="001B42C3"/>
    <w:rsid w:val="001C5D5E"/>
    <w:rsid w:val="001D678D"/>
    <w:rsid w:val="001E03F8"/>
    <w:rsid w:val="001E1678"/>
    <w:rsid w:val="001E3376"/>
    <w:rsid w:val="001F1EB8"/>
    <w:rsid w:val="002069B3"/>
    <w:rsid w:val="002123AA"/>
    <w:rsid w:val="0022610C"/>
    <w:rsid w:val="00226F8A"/>
    <w:rsid w:val="002329CF"/>
    <w:rsid w:val="00232F5B"/>
    <w:rsid w:val="002352A6"/>
    <w:rsid w:val="00241830"/>
    <w:rsid w:val="00247C29"/>
    <w:rsid w:val="00254D7E"/>
    <w:rsid w:val="00260467"/>
    <w:rsid w:val="00263EA3"/>
    <w:rsid w:val="00277D21"/>
    <w:rsid w:val="00284F85"/>
    <w:rsid w:val="002870C3"/>
    <w:rsid w:val="00290915"/>
    <w:rsid w:val="002A22E2"/>
    <w:rsid w:val="002A242B"/>
    <w:rsid w:val="002B46A9"/>
    <w:rsid w:val="002B6836"/>
    <w:rsid w:val="002C64F7"/>
    <w:rsid w:val="002F41F2"/>
    <w:rsid w:val="00301BF3"/>
    <w:rsid w:val="0030208D"/>
    <w:rsid w:val="00312AE2"/>
    <w:rsid w:val="00323418"/>
    <w:rsid w:val="003273FD"/>
    <w:rsid w:val="0033565F"/>
    <w:rsid w:val="003357BF"/>
    <w:rsid w:val="00337AAF"/>
    <w:rsid w:val="00340B77"/>
    <w:rsid w:val="0035045B"/>
    <w:rsid w:val="00354567"/>
    <w:rsid w:val="00364FAD"/>
    <w:rsid w:val="0036738F"/>
    <w:rsid w:val="0036759C"/>
    <w:rsid w:val="00367AE5"/>
    <w:rsid w:val="00367D71"/>
    <w:rsid w:val="00372A82"/>
    <w:rsid w:val="00372E05"/>
    <w:rsid w:val="0038150A"/>
    <w:rsid w:val="00396C94"/>
    <w:rsid w:val="003B6E75"/>
    <w:rsid w:val="003B7DA1"/>
    <w:rsid w:val="003D0379"/>
    <w:rsid w:val="003D2574"/>
    <w:rsid w:val="003D4C59"/>
    <w:rsid w:val="003D7A19"/>
    <w:rsid w:val="003E4C33"/>
    <w:rsid w:val="003F4267"/>
    <w:rsid w:val="00404032"/>
    <w:rsid w:val="0040736F"/>
    <w:rsid w:val="00412C1F"/>
    <w:rsid w:val="00421CB2"/>
    <w:rsid w:val="004268B9"/>
    <w:rsid w:val="00433B96"/>
    <w:rsid w:val="00442C9D"/>
    <w:rsid w:val="004440F1"/>
    <w:rsid w:val="004456DD"/>
    <w:rsid w:val="00446CDF"/>
    <w:rsid w:val="004521B7"/>
    <w:rsid w:val="004548E0"/>
    <w:rsid w:val="00462AB5"/>
    <w:rsid w:val="00465EAF"/>
    <w:rsid w:val="004738C5"/>
    <w:rsid w:val="0047737B"/>
    <w:rsid w:val="00491046"/>
    <w:rsid w:val="00492759"/>
    <w:rsid w:val="00496078"/>
    <w:rsid w:val="004A2AC7"/>
    <w:rsid w:val="004A39C3"/>
    <w:rsid w:val="004A6D2F"/>
    <w:rsid w:val="004B11AE"/>
    <w:rsid w:val="004C2887"/>
    <w:rsid w:val="004D17C4"/>
    <w:rsid w:val="004D2626"/>
    <w:rsid w:val="004D6E26"/>
    <w:rsid w:val="004D77D3"/>
    <w:rsid w:val="004E2959"/>
    <w:rsid w:val="004E6637"/>
    <w:rsid w:val="004F20EF"/>
    <w:rsid w:val="0050321C"/>
    <w:rsid w:val="00507ECC"/>
    <w:rsid w:val="00512370"/>
    <w:rsid w:val="00523261"/>
    <w:rsid w:val="00531E16"/>
    <w:rsid w:val="0054712D"/>
    <w:rsid w:val="00547EF6"/>
    <w:rsid w:val="005546A6"/>
    <w:rsid w:val="005570B5"/>
    <w:rsid w:val="00565130"/>
    <w:rsid w:val="00566DCF"/>
    <w:rsid w:val="00567E18"/>
    <w:rsid w:val="00575F5F"/>
    <w:rsid w:val="00576CD0"/>
    <w:rsid w:val="00581805"/>
    <w:rsid w:val="00585F76"/>
    <w:rsid w:val="005A34E4"/>
    <w:rsid w:val="005A6610"/>
    <w:rsid w:val="005B17F2"/>
    <w:rsid w:val="005B7FB0"/>
    <w:rsid w:val="005C35A5"/>
    <w:rsid w:val="005C577C"/>
    <w:rsid w:val="005D0621"/>
    <w:rsid w:val="005D1E27"/>
    <w:rsid w:val="005D2A3E"/>
    <w:rsid w:val="005D71B7"/>
    <w:rsid w:val="005E022E"/>
    <w:rsid w:val="005E2B45"/>
    <w:rsid w:val="005E5215"/>
    <w:rsid w:val="005F7F7E"/>
    <w:rsid w:val="00614693"/>
    <w:rsid w:val="00622741"/>
    <w:rsid w:val="00623C2F"/>
    <w:rsid w:val="00630829"/>
    <w:rsid w:val="00633578"/>
    <w:rsid w:val="0063408C"/>
    <w:rsid w:val="00635E3E"/>
    <w:rsid w:val="00637068"/>
    <w:rsid w:val="00650811"/>
    <w:rsid w:val="00661D3E"/>
    <w:rsid w:val="00692627"/>
    <w:rsid w:val="006969E7"/>
    <w:rsid w:val="006A3643"/>
    <w:rsid w:val="006B10C2"/>
    <w:rsid w:val="006B2DE1"/>
    <w:rsid w:val="006B53CC"/>
    <w:rsid w:val="006C2A29"/>
    <w:rsid w:val="006C4EB8"/>
    <w:rsid w:val="006C64CF"/>
    <w:rsid w:val="006C767F"/>
    <w:rsid w:val="006C7D2E"/>
    <w:rsid w:val="006D17B1"/>
    <w:rsid w:val="006D309B"/>
    <w:rsid w:val="006D427D"/>
    <w:rsid w:val="006D4752"/>
    <w:rsid w:val="006D708A"/>
    <w:rsid w:val="006E14C1"/>
    <w:rsid w:val="006E1FA1"/>
    <w:rsid w:val="006E4B61"/>
    <w:rsid w:val="006E614E"/>
    <w:rsid w:val="006F0292"/>
    <w:rsid w:val="006F27FA"/>
    <w:rsid w:val="006F416B"/>
    <w:rsid w:val="006F519B"/>
    <w:rsid w:val="00713675"/>
    <w:rsid w:val="00715823"/>
    <w:rsid w:val="007233C4"/>
    <w:rsid w:val="007253EF"/>
    <w:rsid w:val="00737B93"/>
    <w:rsid w:val="00745BF0"/>
    <w:rsid w:val="00751EA3"/>
    <w:rsid w:val="007615FE"/>
    <w:rsid w:val="00764BAF"/>
    <w:rsid w:val="0076655C"/>
    <w:rsid w:val="007742DC"/>
    <w:rsid w:val="00791437"/>
    <w:rsid w:val="007967CA"/>
    <w:rsid w:val="007B0C2C"/>
    <w:rsid w:val="007B278E"/>
    <w:rsid w:val="007B44D2"/>
    <w:rsid w:val="007B5CA2"/>
    <w:rsid w:val="007C5C23"/>
    <w:rsid w:val="007E2A26"/>
    <w:rsid w:val="007E7504"/>
    <w:rsid w:val="007F2348"/>
    <w:rsid w:val="007F4757"/>
    <w:rsid w:val="00803F07"/>
    <w:rsid w:val="0080749A"/>
    <w:rsid w:val="00821FB8"/>
    <w:rsid w:val="00822ACD"/>
    <w:rsid w:val="00831A36"/>
    <w:rsid w:val="00836446"/>
    <w:rsid w:val="00855C66"/>
    <w:rsid w:val="00864892"/>
    <w:rsid w:val="00871EE4"/>
    <w:rsid w:val="008954DF"/>
    <w:rsid w:val="008A34D3"/>
    <w:rsid w:val="008B293F"/>
    <w:rsid w:val="008B7371"/>
    <w:rsid w:val="008C3026"/>
    <w:rsid w:val="008C6CA7"/>
    <w:rsid w:val="008D2347"/>
    <w:rsid w:val="008D3DDB"/>
    <w:rsid w:val="008F1BB4"/>
    <w:rsid w:val="008F3B04"/>
    <w:rsid w:val="008F573F"/>
    <w:rsid w:val="009034EC"/>
    <w:rsid w:val="0093067A"/>
    <w:rsid w:val="00941C60"/>
    <w:rsid w:val="00941FD1"/>
    <w:rsid w:val="0096297B"/>
    <w:rsid w:val="00966D42"/>
    <w:rsid w:val="00971689"/>
    <w:rsid w:val="0097170F"/>
    <w:rsid w:val="00973E90"/>
    <w:rsid w:val="00975B07"/>
    <w:rsid w:val="00980B4A"/>
    <w:rsid w:val="0099164D"/>
    <w:rsid w:val="009B3E8A"/>
    <w:rsid w:val="009D3627"/>
    <w:rsid w:val="009D3D0B"/>
    <w:rsid w:val="009D7080"/>
    <w:rsid w:val="009E3D0A"/>
    <w:rsid w:val="009E51FC"/>
    <w:rsid w:val="009E68E0"/>
    <w:rsid w:val="009F1D28"/>
    <w:rsid w:val="009F6BC0"/>
    <w:rsid w:val="009F7618"/>
    <w:rsid w:val="00A01032"/>
    <w:rsid w:val="00A04D23"/>
    <w:rsid w:val="00A06766"/>
    <w:rsid w:val="00A13765"/>
    <w:rsid w:val="00A15F71"/>
    <w:rsid w:val="00A21B12"/>
    <w:rsid w:val="00A23F80"/>
    <w:rsid w:val="00A34CE8"/>
    <w:rsid w:val="00A36EEB"/>
    <w:rsid w:val="00A46E98"/>
    <w:rsid w:val="00A6352B"/>
    <w:rsid w:val="00A701B5"/>
    <w:rsid w:val="00A714BB"/>
    <w:rsid w:val="00A77147"/>
    <w:rsid w:val="00A824F2"/>
    <w:rsid w:val="00A92D8F"/>
    <w:rsid w:val="00AB2988"/>
    <w:rsid w:val="00AB2A81"/>
    <w:rsid w:val="00AB3F66"/>
    <w:rsid w:val="00AB7999"/>
    <w:rsid w:val="00AC7603"/>
    <w:rsid w:val="00AC7C3A"/>
    <w:rsid w:val="00AD3292"/>
    <w:rsid w:val="00AE1684"/>
    <w:rsid w:val="00AE262E"/>
    <w:rsid w:val="00AE7AF0"/>
    <w:rsid w:val="00B0421E"/>
    <w:rsid w:val="00B35BD0"/>
    <w:rsid w:val="00B500CA"/>
    <w:rsid w:val="00B6369C"/>
    <w:rsid w:val="00B86314"/>
    <w:rsid w:val="00B93FFA"/>
    <w:rsid w:val="00BA1C2E"/>
    <w:rsid w:val="00BB6C29"/>
    <w:rsid w:val="00BB6FF3"/>
    <w:rsid w:val="00BC200B"/>
    <w:rsid w:val="00BC4756"/>
    <w:rsid w:val="00BC69A4"/>
    <w:rsid w:val="00BD1F7A"/>
    <w:rsid w:val="00BE0680"/>
    <w:rsid w:val="00BE305F"/>
    <w:rsid w:val="00BE5734"/>
    <w:rsid w:val="00BE7BA3"/>
    <w:rsid w:val="00BF2B37"/>
    <w:rsid w:val="00BF5682"/>
    <w:rsid w:val="00BF7B09"/>
    <w:rsid w:val="00C05260"/>
    <w:rsid w:val="00C059B9"/>
    <w:rsid w:val="00C076B9"/>
    <w:rsid w:val="00C13356"/>
    <w:rsid w:val="00C20A95"/>
    <w:rsid w:val="00C2692F"/>
    <w:rsid w:val="00C3207C"/>
    <w:rsid w:val="00C36619"/>
    <w:rsid w:val="00C400E1"/>
    <w:rsid w:val="00C41187"/>
    <w:rsid w:val="00C55247"/>
    <w:rsid w:val="00C63C31"/>
    <w:rsid w:val="00C7138B"/>
    <w:rsid w:val="00C757A0"/>
    <w:rsid w:val="00C760DE"/>
    <w:rsid w:val="00C82630"/>
    <w:rsid w:val="00C82ED0"/>
    <w:rsid w:val="00C85B4E"/>
    <w:rsid w:val="00C87578"/>
    <w:rsid w:val="00C907F7"/>
    <w:rsid w:val="00CA2103"/>
    <w:rsid w:val="00CA5E87"/>
    <w:rsid w:val="00CB21E8"/>
    <w:rsid w:val="00CB6B99"/>
    <w:rsid w:val="00CB7A4F"/>
    <w:rsid w:val="00CD13F8"/>
    <w:rsid w:val="00CE4C87"/>
    <w:rsid w:val="00CE544A"/>
    <w:rsid w:val="00D01361"/>
    <w:rsid w:val="00D11E1C"/>
    <w:rsid w:val="00D160B0"/>
    <w:rsid w:val="00D17F94"/>
    <w:rsid w:val="00D223FC"/>
    <w:rsid w:val="00D26D1E"/>
    <w:rsid w:val="00D33FBF"/>
    <w:rsid w:val="00D43FD2"/>
    <w:rsid w:val="00D474CF"/>
    <w:rsid w:val="00D5547E"/>
    <w:rsid w:val="00D65C8D"/>
    <w:rsid w:val="00D8270A"/>
    <w:rsid w:val="00D860E2"/>
    <w:rsid w:val="00D869A1"/>
    <w:rsid w:val="00DA413F"/>
    <w:rsid w:val="00DA4584"/>
    <w:rsid w:val="00DA47BC"/>
    <w:rsid w:val="00DA614B"/>
    <w:rsid w:val="00DB6893"/>
    <w:rsid w:val="00DB7AD7"/>
    <w:rsid w:val="00DC3060"/>
    <w:rsid w:val="00DE0FB2"/>
    <w:rsid w:val="00DF093E"/>
    <w:rsid w:val="00DF5D4E"/>
    <w:rsid w:val="00E01F42"/>
    <w:rsid w:val="00E05CAA"/>
    <w:rsid w:val="00E206D6"/>
    <w:rsid w:val="00E244EA"/>
    <w:rsid w:val="00E292BB"/>
    <w:rsid w:val="00E3366E"/>
    <w:rsid w:val="00E508A1"/>
    <w:rsid w:val="00E52086"/>
    <w:rsid w:val="00E543A6"/>
    <w:rsid w:val="00E551C4"/>
    <w:rsid w:val="00E60479"/>
    <w:rsid w:val="00E605C4"/>
    <w:rsid w:val="00E61D73"/>
    <w:rsid w:val="00E73684"/>
    <w:rsid w:val="00E818D6"/>
    <w:rsid w:val="00E87F7A"/>
    <w:rsid w:val="00E94B3E"/>
    <w:rsid w:val="00E96BD7"/>
    <w:rsid w:val="00E97364"/>
    <w:rsid w:val="00EA0DB1"/>
    <w:rsid w:val="00EA0EC7"/>
    <w:rsid w:val="00EA0EE9"/>
    <w:rsid w:val="00ED52CA"/>
    <w:rsid w:val="00ED5860"/>
    <w:rsid w:val="00EE149B"/>
    <w:rsid w:val="00EE35C9"/>
    <w:rsid w:val="00F03F3C"/>
    <w:rsid w:val="00F04A84"/>
    <w:rsid w:val="00F05ECA"/>
    <w:rsid w:val="00F122B1"/>
    <w:rsid w:val="00F26E21"/>
    <w:rsid w:val="00F3566E"/>
    <w:rsid w:val="00F375FB"/>
    <w:rsid w:val="00F37B81"/>
    <w:rsid w:val="00F41AC1"/>
    <w:rsid w:val="00F4367A"/>
    <w:rsid w:val="00F445B1"/>
    <w:rsid w:val="00F45CD4"/>
    <w:rsid w:val="00F66DCA"/>
    <w:rsid w:val="00F74F53"/>
    <w:rsid w:val="00F7606D"/>
    <w:rsid w:val="00F81670"/>
    <w:rsid w:val="00F82024"/>
    <w:rsid w:val="00F865A3"/>
    <w:rsid w:val="00F95BC9"/>
    <w:rsid w:val="00F96B7E"/>
    <w:rsid w:val="00FA624C"/>
    <w:rsid w:val="00FB3B71"/>
    <w:rsid w:val="00FB4FE1"/>
    <w:rsid w:val="00FD0FAC"/>
    <w:rsid w:val="00FD1DFA"/>
    <w:rsid w:val="00FD4966"/>
    <w:rsid w:val="00FE57DC"/>
    <w:rsid w:val="00FF095A"/>
    <w:rsid w:val="012460D6"/>
    <w:rsid w:val="0287E82A"/>
    <w:rsid w:val="02AB56F3"/>
    <w:rsid w:val="03EA7A82"/>
    <w:rsid w:val="040F6829"/>
    <w:rsid w:val="0710BB9B"/>
    <w:rsid w:val="0776C183"/>
    <w:rsid w:val="08612AF7"/>
    <w:rsid w:val="086B0F04"/>
    <w:rsid w:val="08A8E222"/>
    <w:rsid w:val="0939A38A"/>
    <w:rsid w:val="09EA6934"/>
    <w:rsid w:val="0A996ACD"/>
    <w:rsid w:val="0AFF6EB2"/>
    <w:rsid w:val="0BC4DFF5"/>
    <w:rsid w:val="0C9B31B2"/>
    <w:rsid w:val="10D6FE06"/>
    <w:rsid w:val="114C5F09"/>
    <w:rsid w:val="1200FACE"/>
    <w:rsid w:val="12E744BB"/>
    <w:rsid w:val="13D64D59"/>
    <w:rsid w:val="17513DD5"/>
    <w:rsid w:val="18A47893"/>
    <w:rsid w:val="18A5BFFA"/>
    <w:rsid w:val="1A6747D8"/>
    <w:rsid w:val="1D080B8E"/>
    <w:rsid w:val="1D2FA919"/>
    <w:rsid w:val="1D79CE75"/>
    <w:rsid w:val="1E050563"/>
    <w:rsid w:val="205DA970"/>
    <w:rsid w:val="20BE641E"/>
    <w:rsid w:val="217F4B46"/>
    <w:rsid w:val="2187760D"/>
    <w:rsid w:val="229BB4EA"/>
    <w:rsid w:val="23B62641"/>
    <w:rsid w:val="25BF9F3F"/>
    <w:rsid w:val="289FDB2F"/>
    <w:rsid w:val="2931F9FF"/>
    <w:rsid w:val="29C41AC2"/>
    <w:rsid w:val="29C91C3A"/>
    <w:rsid w:val="29FC2930"/>
    <w:rsid w:val="2B7BAFE9"/>
    <w:rsid w:val="2BB29E7E"/>
    <w:rsid w:val="2C0F9C71"/>
    <w:rsid w:val="2D3CAA36"/>
    <w:rsid w:val="2E6D5454"/>
    <w:rsid w:val="2F2A85A0"/>
    <w:rsid w:val="2FC3E456"/>
    <w:rsid w:val="33AFEE59"/>
    <w:rsid w:val="33B7281E"/>
    <w:rsid w:val="33FF7DAA"/>
    <w:rsid w:val="361E7983"/>
    <w:rsid w:val="37FFB4D7"/>
    <w:rsid w:val="38DB4DC7"/>
    <w:rsid w:val="395C47E3"/>
    <w:rsid w:val="397B3F40"/>
    <w:rsid w:val="39A05735"/>
    <w:rsid w:val="3C665151"/>
    <w:rsid w:val="3CAA449D"/>
    <w:rsid w:val="3CC14F5D"/>
    <w:rsid w:val="3D3B0069"/>
    <w:rsid w:val="3D9882EA"/>
    <w:rsid w:val="3DF14DDC"/>
    <w:rsid w:val="3EBA0DA8"/>
    <w:rsid w:val="3EF71E4E"/>
    <w:rsid w:val="3F74E53E"/>
    <w:rsid w:val="40063A47"/>
    <w:rsid w:val="40774643"/>
    <w:rsid w:val="41571A7F"/>
    <w:rsid w:val="42DDDBA8"/>
    <w:rsid w:val="443F1D6B"/>
    <w:rsid w:val="456A5788"/>
    <w:rsid w:val="45BBD153"/>
    <w:rsid w:val="464594E3"/>
    <w:rsid w:val="47F273E0"/>
    <w:rsid w:val="4B84F9CA"/>
    <w:rsid w:val="4C2D167E"/>
    <w:rsid w:val="4C36344A"/>
    <w:rsid w:val="4DCDA9D3"/>
    <w:rsid w:val="4E780D21"/>
    <w:rsid w:val="4F43C41E"/>
    <w:rsid w:val="4F966FB6"/>
    <w:rsid w:val="4FE06D8E"/>
    <w:rsid w:val="5353493B"/>
    <w:rsid w:val="53EC25F8"/>
    <w:rsid w:val="5602BFF8"/>
    <w:rsid w:val="561E3DD4"/>
    <w:rsid w:val="56928AF7"/>
    <w:rsid w:val="5808269C"/>
    <w:rsid w:val="5832B0E0"/>
    <w:rsid w:val="5B6D3332"/>
    <w:rsid w:val="5B818A7E"/>
    <w:rsid w:val="5C2B989B"/>
    <w:rsid w:val="5CBE517D"/>
    <w:rsid w:val="5CCFFBA1"/>
    <w:rsid w:val="5D71F95F"/>
    <w:rsid w:val="5D81E474"/>
    <w:rsid w:val="5E1385F2"/>
    <w:rsid w:val="5E6B8486"/>
    <w:rsid w:val="64AF903D"/>
    <w:rsid w:val="657286C4"/>
    <w:rsid w:val="65912E93"/>
    <w:rsid w:val="66DDE0E0"/>
    <w:rsid w:val="6705CB2F"/>
    <w:rsid w:val="67763C94"/>
    <w:rsid w:val="684F7210"/>
    <w:rsid w:val="68A4BF98"/>
    <w:rsid w:val="69410224"/>
    <w:rsid w:val="69C0F1C8"/>
    <w:rsid w:val="6A38635F"/>
    <w:rsid w:val="6AB83EFA"/>
    <w:rsid w:val="6B3B8F33"/>
    <w:rsid w:val="6C68FDE1"/>
    <w:rsid w:val="6D8A7C5A"/>
    <w:rsid w:val="6EF1E5C9"/>
    <w:rsid w:val="709410E8"/>
    <w:rsid w:val="70BB03AA"/>
    <w:rsid w:val="70CE5F5A"/>
    <w:rsid w:val="7126238E"/>
    <w:rsid w:val="714EBAEC"/>
    <w:rsid w:val="719C242E"/>
    <w:rsid w:val="72D0F57A"/>
    <w:rsid w:val="7337D733"/>
    <w:rsid w:val="735E13E5"/>
    <w:rsid w:val="73DFD0D6"/>
    <w:rsid w:val="7437B097"/>
    <w:rsid w:val="7446CBD0"/>
    <w:rsid w:val="74DD5E36"/>
    <w:rsid w:val="76DC391E"/>
    <w:rsid w:val="773D8290"/>
    <w:rsid w:val="77DC4DF1"/>
    <w:rsid w:val="7A731415"/>
    <w:rsid w:val="7ACC6696"/>
    <w:rsid w:val="7B69D618"/>
    <w:rsid w:val="7BF71614"/>
    <w:rsid w:val="7C3094E0"/>
    <w:rsid w:val="7D9403F5"/>
    <w:rsid w:val="7E2CE386"/>
    <w:rsid w:val="7ECA0CCF"/>
    <w:rsid w:val="7EF0C532"/>
    <w:rsid w:val="7FE1D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E6479"/>
  <w15:docId w15:val="{5B2BA3E5-8E0C-4EC8-9220-F637E856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customStyle="1" w:styleId="StyleBulletedSymbolsymbolLeft063cmHanging063cm">
    <w:name w:val="Style Bulleted Symbol (symbol) Left:  0.63 cm Hanging:  0.63 cm"/>
    <w:basedOn w:val="NoList"/>
    <w:rsid w:val="00E818D6"/>
    <w:pPr>
      <w:numPr>
        <w:numId w:val="1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6"/>
      </w:numPr>
      <w:tabs>
        <w:tab w:val="left" w:pos="426"/>
      </w:tabs>
      <w:ind w:left="426" w:hanging="426"/>
    </w:pPr>
  </w:style>
  <w:style w:type="character" w:customStyle="1" w:styleId="HeaderChar">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customStyle="1" w:styleId="Tableandfigurecaption">
    <w:name w:val="Table and figure caption"/>
    <w:basedOn w:val="Heading2"/>
    <w:rsid w:val="00692627"/>
    <w:pPr>
      <w:ind w:left="360"/>
    </w:pPr>
    <w:rPr>
      <w:bCs/>
      <w:szCs w:val="20"/>
    </w:rPr>
  </w:style>
  <w:style w:type="numbering" w:customStyle="1" w:styleId="StyleNumberedLeft0cmHanging075cm">
    <w:name w:val="Style Numbered Left:  0 cm Hanging:  0.75 cm"/>
    <w:basedOn w:val="NoList"/>
    <w:rsid w:val="00E818D6"/>
    <w:pPr>
      <w:numPr>
        <w:numId w:val="15"/>
      </w:numPr>
    </w:pPr>
  </w:style>
  <w:style w:type="paragraph" w:customStyle="1" w:styleId="Bulletpoints">
    <w:name w:val="Bullet points"/>
    <w:basedOn w:val="Normal"/>
    <w:link w:val="BulletpointsChar"/>
    <w:qFormat/>
    <w:rsid w:val="005570B5"/>
    <w:pPr>
      <w:numPr>
        <w:numId w:val="1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customStyle="1" w:styleId="BulletpointsChar">
    <w:name w:val="Bullet points Char"/>
    <w:link w:val="Bulletpoints"/>
    <w:rsid w:val="005570B5"/>
    <w:rPr>
      <w:color w:val="000000"/>
      <w:sz w:val="24"/>
      <w:szCs w:val="24"/>
    </w:rPr>
  </w:style>
  <w:style w:type="character" w:customStyle="1" w:styleId="QuoteChar">
    <w:name w:val="Quote Char"/>
    <w:link w:val="Quote"/>
    <w:uiPriority w:val="29"/>
    <w:rsid w:val="004A6D2F"/>
    <w:rPr>
      <w:rFonts w:ascii="Arial" w:hAnsi="Arial"/>
      <w:i/>
      <w:iCs/>
      <w:color w:val="000000"/>
      <w:sz w:val="24"/>
      <w:szCs w:val="24"/>
      <w:lang w:eastAsia="en-US"/>
    </w:rPr>
  </w:style>
  <w:style w:type="character" w:customStyle="1" w:styleId="FooterChar">
    <w:name w:val="Footer Char"/>
    <w:aliases w:val="zzFooter Char"/>
    <w:link w:val="Footer"/>
    <w:uiPriority w:val="99"/>
    <w:rsid w:val="004B11AE"/>
    <w:rPr>
      <w:color w:val="000000"/>
      <w:sz w:val="18"/>
      <w:szCs w:val="24"/>
    </w:rPr>
  </w:style>
  <w:style w:type="character" w:customStyle="1" w:styleId="Firstpagetablebold">
    <w:name w:val="First page table: bold"/>
    <w:qFormat/>
    <w:rsid w:val="005D1E27"/>
    <w:rPr>
      <w:rFonts w:ascii="Arial" w:hAnsi="Arial"/>
      <w:b/>
      <w:sz w:val="24"/>
    </w:rPr>
  </w:style>
  <w:style w:type="paragraph" w:customStyle="1" w:styleId="bParagraphtext">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customStyle="1" w:styleId="ListParagraphChar">
    <w:name w:val="List Paragraph Char"/>
    <w:link w:val="ListParagraph"/>
    <w:uiPriority w:val="34"/>
    <w:rsid w:val="005570B5"/>
    <w:rPr>
      <w:color w:val="000000"/>
      <w:sz w:val="24"/>
      <w:szCs w:val="24"/>
    </w:rPr>
  </w:style>
  <w:style w:type="character" w:customStyle="1" w:styleId="bParagraphtextChar">
    <w:name w:val="bParagraph text Char"/>
    <w:link w:val="bParagraphtext"/>
    <w:rsid w:val="005570B5"/>
    <w:rPr>
      <w:color w:val="000000"/>
      <w:sz w:val="24"/>
      <w:szCs w:val="24"/>
    </w:rPr>
  </w:style>
  <w:style w:type="paragraph" w:customStyle="1" w:styleId="Numberedlist">
    <w:name w:val="Numbered list"/>
    <w:basedOn w:val="Bulletpoints"/>
    <w:link w:val="NumberedlistChar"/>
    <w:qFormat/>
    <w:rsid w:val="004738C5"/>
    <w:pPr>
      <w:numPr>
        <w:numId w:val="25"/>
      </w:numPr>
      <w:ind w:left="993" w:hanging="426"/>
    </w:pPr>
  </w:style>
  <w:style w:type="character" w:customStyle="1" w:styleId="Heading1Char">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customStyle="1" w:styleId="NumberedlistChar">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4">
    <w:name w:val="Table Classic 4"/>
    <w:basedOn w:val="TableNormal"/>
    <w:rsid w:val="00507ECC"/>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rsid w:val="00507ECC"/>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ightList-Accent1">
    <w:name w:val="Light List Accent 1"/>
    <w:basedOn w:val="TableNormal"/>
    <w:uiPriority w:val="61"/>
    <w:rsid w:val="00507EC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1">
    <w:name w:val="Table Grid1"/>
    <w:basedOn w:val="TableNormal"/>
    <w:next w:val="TableGrid"/>
    <w:uiPriority w:val="59"/>
    <w:rsid w:val="001A1BA1"/>
    <w:rPr>
      <w:rFonts w:eastAsiaTheme="minorHAnsi"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1BA1"/>
    <w:pPr>
      <w:spacing w:after="0"/>
    </w:pPr>
    <w:rPr>
      <w:rFonts w:ascii="Times New Roman" w:hAnsi="Times New Roman"/>
      <w:color w:val="auto"/>
      <w:sz w:val="20"/>
      <w:szCs w:val="20"/>
    </w:rPr>
  </w:style>
  <w:style w:type="character" w:customStyle="1" w:styleId="FootnoteTextChar">
    <w:name w:val="Footnote Text Char"/>
    <w:basedOn w:val="DefaultParagraphFont"/>
    <w:link w:val="FootnoteText"/>
    <w:uiPriority w:val="99"/>
    <w:semiHidden/>
    <w:rsid w:val="001A1BA1"/>
    <w:rPr>
      <w:rFonts w:ascii="Times New Roman" w:hAnsi="Times New Roman"/>
    </w:rPr>
  </w:style>
  <w:style w:type="character" w:styleId="FootnoteReference">
    <w:name w:val="footnote reference"/>
    <w:basedOn w:val="DefaultParagraphFont"/>
    <w:uiPriority w:val="99"/>
    <w:semiHidden/>
    <w:unhideWhenUsed/>
    <w:rsid w:val="001A1BA1"/>
    <w:rPr>
      <w:vertAlign w:val="superscript"/>
    </w:rPr>
  </w:style>
  <w:style w:type="character" w:styleId="PlaceholderText">
    <w:name w:val="Placeholder Text"/>
    <w:basedOn w:val="DefaultParagraphFont"/>
    <w:uiPriority w:val="99"/>
    <w:semiHidden/>
    <w:rsid w:val="006C767F"/>
    <w:rPr>
      <w:color w:val="808080"/>
    </w:rPr>
  </w:style>
  <w:style w:type="paragraph" w:customStyle="1" w:styleId="dBulletpoints">
    <w:name w:val="dBullet points"/>
    <w:basedOn w:val="Normal"/>
    <w:link w:val="dBulletpointsChar"/>
    <w:qFormat/>
    <w:rsid w:val="009D7080"/>
    <w:pPr>
      <w:numPr>
        <w:numId w:val="40"/>
      </w:numPr>
      <w:tabs>
        <w:tab w:val="left" w:pos="1418"/>
      </w:tabs>
      <w:spacing w:before="120" w:after="0"/>
      <w:ind w:left="1418" w:hanging="425"/>
    </w:pPr>
    <w:rPr>
      <w:color w:val="auto"/>
      <w:lang w:eastAsia="en-US"/>
    </w:rPr>
  </w:style>
  <w:style w:type="character" w:customStyle="1" w:styleId="dBulletpointsChar">
    <w:name w:val="dBullet points Char"/>
    <w:link w:val="dBulletpoints"/>
    <w:rsid w:val="009D7080"/>
    <w:rPr>
      <w:sz w:val="24"/>
      <w:szCs w:val="24"/>
      <w:lang w:eastAsia="en-US"/>
    </w:rPr>
  </w:style>
  <w:style w:type="character" w:customStyle="1" w:styleId="CommentTextChar">
    <w:name w:val="Comment Text Char"/>
    <w:basedOn w:val="DefaultParagraphFont"/>
    <w:link w:val="CommentText"/>
    <w:rsid w:val="00226F8A"/>
    <w:rPr>
      <w:color w:val="000000"/>
    </w:rPr>
  </w:style>
  <w:style w:type="paragraph" w:customStyle="1" w:styleId="dNormParatext">
    <w:name w:val="dNormPara text"/>
    <w:basedOn w:val="Normal"/>
    <w:link w:val="dNormParatextChar"/>
    <w:qFormat/>
    <w:rsid w:val="00226F8A"/>
    <w:pPr>
      <w:ind w:left="567"/>
    </w:pPr>
    <w:rPr>
      <w:color w:val="auto"/>
      <w:lang w:eastAsia="en-US"/>
    </w:rPr>
  </w:style>
  <w:style w:type="character" w:customStyle="1" w:styleId="dNormParatextChar">
    <w:name w:val="dNormPara text Char"/>
    <w:link w:val="dNormParatext"/>
    <w:rsid w:val="00226F8A"/>
    <w:rPr>
      <w:sz w:val="24"/>
      <w:szCs w:val="24"/>
      <w:lang w:eastAsia="en-US"/>
    </w:rPr>
  </w:style>
  <w:style w:type="character" w:styleId="UnresolvedMention">
    <w:name w:val="Unresolved Mention"/>
    <w:basedOn w:val="DefaultParagraphFont"/>
    <w:uiPriority w:val="99"/>
    <w:semiHidden/>
    <w:unhideWhenUsed/>
    <w:rsid w:val="005D71B7"/>
    <w:rPr>
      <w:color w:val="605E5C"/>
      <w:shd w:val="clear" w:color="auto" w:fill="E1DFDD"/>
    </w:rPr>
  </w:style>
  <w:style w:type="character" w:styleId="FollowedHyperlink">
    <w:name w:val="FollowedHyperlink"/>
    <w:basedOn w:val="DefaultParagraphFont"/>
    <w:semiHidden/>
    <w:unhideWhenUsed/>
    <w:rsid w:val="00193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31476982">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393819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071385004">
      <w:bodyDiv w:val="1"/>
      <w:marLeft w:val="0"/>
      <w:marRight w:val="0"/>
      <w:marTop w:val="0"/>
      <w:marBottom w:val="0"/>
      <w:divBdr>
        <w:top w:val="none" w:sz="0" w:space="0" w:color="auto"/>
        <w:left w:val="none" w:sz="0" w:space="0" w:color="auto"/>
        <w:bottom w:val="none" w:sz="0" w:space="0" w:color="auto"/>
        <w:right w:val="none" w:sz="0" w:space="0" w:color="auto"/>
      </w:divBdr>
    </w:div>
    <w:div w:id="118038599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24279077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789549558">
      <w:bodyDiv w:val="1"/>
      <w:marLeft w:val="0"/>
      <w:marRight w:val="0"/>
      <w:marTop w:val="0"/>
      <w:marBottom w:val="0"/>
      <w:divBdr>
        <w:top w:val="none" w:sz="0" w:space="0" w:color="auto"/>
        <w:left w:val="none" w:sz="0" w:space="0" w:color="auto"/>
        <w:bottom w:val="none" w:sz="0" w:space="0" w:color="auto"/>
        <w:right w:val="none" w:sz="0" w:space="0" w:color="auto"/>
      </w:divBdr>
    </w:div>
    <w:div w:id="196072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adorrington@oxfor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council.oxford.gov.uk/documents/s78613/Use%20of%20Retained%20Right%20to%20Buy%20Receipts%20to%20increase%20the%20provision%20of%20more%20affordable%20housing.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289e97-0d63-4019-8f44-420cabf9f53d" xsi:nil="true"/>
    <lcf76f155ced4ddcb4097134ff3c332f xmlns="fc5796d7-5eaa-4285-837b-3bf55740955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D0BE0633AB60A4598BE9BC44FA12C9D" ma:contentTypeVersion="13" ma:contentTypeDescription="Create a new document." ma:contentTypeScope="" ma:versionID="529a13ecd124f5e33df567ef34565a56">
  <xsd:schema xmlns:xsd="http://www.w3.org/2001/XMLSchema" xmlns:xs="http://www.w3.org/2001/XMLSchema" xmlns:p="http://schemas.microsoft.com/office/2006/metadata/properties" xmlns:ns2="fc5796d7-5eaa-4285-837b-3bf557409554" xmlns:ns3="f4289e97-0d63-4019-8f44-420cabf9f53d" targetNamespace="http://schemas.microsoft.com/office/2006/metadata/properties" ma:root="true" ma:fieldsID="a6fefad228d13495b414a44925c38b81" ns2:_="" ns3:_="">
    <xsd:import namespace="fc5796d7-5eaa-4285-837b-3bf557409554"/>
    <xsd:import namespace="f4289e97-0d63-4019-8f44-420cabf9f5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796d7-5eaa-4285-837b-3bf55740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89e97-0d63-4019-8f44-420cabf9f5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5a5189b-5884-48bc-a0f8-26ff83d07832}" ma:internalName="TaxCatchAll" ma:showField="CatchAllData" ma:web="f4289e97-0d63-4019-8f44-420cabf9f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B0856-D55F-464F-911C-FF77E047235A}">
  <ds:schemaRefs>
    <ds:schemaRef ds:uri="http://schemas.microsoft.com/office/2006/metadata/properties"/>
    <ds:schemaRef ds:uri="http://schemas.microsoft.com/office/infopath/2007/PartnerControls"/>
    <ds:schemaRef ds:uri="f4289e97-0d63-4019-8f44-420cabf9f53d"/>
    <ds:schemaRef ds:uri="fc5796d7-5eaa-4285-837b-3bf557409554"/>
  </ds:schemaRefs>
</ds:datastoreItem>
</file>

<file path=customXml/itemProps2.xml><?xml version="1.0" encoding="utf-8"?>
<ds:datastoreItem xmlns:ds="http://schemas.openxmlformats.org/officeDocument/2006/customXml" ds:itemID="{410DF83A-F2C9-43B6-9B11-D76A1B234ACF}">
  <ds:schemaRefs>
    <ds:schemaRef ds:uri="http://schemas.openxmlformats.org/officeDocument/2006/bibliography"/>
  </ds:schemaRefs>
</ds:datastoreItem>
</file>

<file path=customXml/itemProps3.xml><?xml version="1.0" encoding="utf-8"?>
<ds:datastoreItem xmlns:ds="http://schemas.openxmlformats.org/officeDocument/2006/customXml" ds:itemID="{95AE8535-F462-41BB-AF0E-33A76C018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796d7-5eaa-4285-837b-3bf557409554"/>
    <ds:schemaRef ds:uri="f4289e97-0d63-4019-8f44-420cabf9f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7CC2E-EC74-4FED-BADF-DBB7A79ED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Words>
  <Characters>6585</Characters>
  <Application>Microsoft Office Word</Application>
  <DocSecurity>0</DocSecurity>
  <Lines>54</Lines>
  <Paragraphs>15</Paragraphs>
  <ScaleCrop>false</ScaleCrop>
  <Company>Oxford City Council</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creator>jmitchell</dc:creator>
  <cp:keywords>OxCityCouncil Report</cp:keywords>
  <cp:lastModifiedBy>Tyisha IRESON-HALL</cp:lastModifiedBy>
  <cp:revision>2</cp:revision>
  <cp:lastPrinted>2025-03-03T11:12:00Z</cp:lastPrinted>
  <dcterms:created xsi:type="dcterms:W3CDTF">2025-11-14T09:04:00Z</dcterms:created>
  <dcterms:modified xsi:type="dcterms:W3CDTF">2025-11-14T09:04:00Z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0x010100AD0BE0633AB60A4598BE9BC44FA12C9D</vt:lpwstr>
  </property>
  <property fmtid="{D5CDD505-2E9C-101B-9397-08002B2CF9AE}" pid="3" name="MediaServiceImageTags">
    <vt:lpwstr/>
  </property>
</Properties>
</file>